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9611A0">
      <w:pPr>
        <w:jc w:val="center"/>
        <w:rPr>
          <w:rFonts w:hint="default"/>
          <w:b/>
          <w:sz w:val="22"/>
          <w:szCs w:val="22"/>
          <w:lang w:val="pt-BR"/>
        </w:rPr>
      </w:pPr>
      <w:r>
        <w:rPr>
          <w:rFonts w:hint="default"/>
          <w:b/>
          <w:sz w:val="22"/>
          <w:szCs w:val="22"/>
          <w:lang w:val="pt-BR"/>
        </w:rPr>
        <w:t>PROJETO BÁSICO</w:t>
      </w:r>
    </w:p>
    <w:p w14:paraId="4F2EEDDB">
      <w:pPr>
        <w:jc w:val="center"/>
        <w:rPr>
          <w:rFonts w:hint="default"/>
          <w:b/>
          <w:sz w:val="22"/>
          <w:szCs w:val="22"/>
          <w:lang w:val="pt-BR"/>
        </w:rPr>
      </w:pPr>
      <w:r>
        <w:rPr>
          <w:b/>
          <w:sz w:val="22"/>
          <w:szCs w:val="22"/>
        </w:rPr>
        <w:t xml:space="preserve">PROCESSO ADMINISTRATIVO Nº </w:t>
      </w:r>
      <w:r>
        <w:rPr>
          <w:rFonts w:hint="default"/>
          <w:b/>
          <w:sz w:val="22"/>
          <w:szCs w:val="22"/>
          <w:lang w:val="pt-BR"/>
        </w:rPr>
        <w:t>3689/2025</w:t>
      </w:r>
    </w:p>
    <w:p w14:paraId="5667D661">
      <w:pPr>
        <w:jc w:val="center"/>
        <w:rPr>
          <w:b/>
          <w:sz w:val="22"/>
          <w:szCs w:val="22"/>
        </w:rPr>
      </w:pPr>
    </w:p>
    <w:p w14:paraId="68982FB0">
      <w:pPr>
        <w:jc w:val="center"/>
        <w:rPr>
          <w:b/>
          <w:sz w:val="22"/>
          <w:szCs w:val="22"/>
        </w:rPr>
      </w:pPr>
    </w:p>
    <w:p w14:paraId="316A54B8">
      <w:pPr>
        <w:jc w:val="both"/>
        <w:rPr>
          <w:rFonts w:hint="default"/>
          <w:bCs/>
          <w:sz w:val="22"/>
          <w:szCs w:val="22"/>
          <w:lang w:val="pt-BR"/>
        </w:rPr>
      </w:pPr>
      <w:r>
        <w:rPr>
          <w:b/>
          <w:sz w:val="22"/>
          <w:szCs w:val="22"/>
        </w:rPr>
        <w:t xml:space="preserve">ÓRGÃO REQUISITANTE: SECRETARIA MUNICIPAL DE </w:t>
      </w:r>
      <w:r>
        <w:rPr>
          <w:rFonts w:hint="default"/>
          <w:b/>
          <w:sz w:val="22"/>
          <w:szCs w:val="22"/>
          <w:lang w:val="pt-BR"/>
        </w:rPr>
        <w:t>OBRAS, SANEAMENTO, URBANISMO E CONSERVAÇÃO</w:t>
      </w:r>
    </w:p>
    <w:p w14:paraId="5740F241">
      <w:pPr>
        <w:jc w:val="both"/>
        <w:rPr>
          <w:b/>
          <w:sz w:val="22"/>
          <w:szCs w:val="22"/>
        </w:rPr>
      </w:pPr>
    </w:p>
    <w:p w14:paraId="719A9887">
      <w:pPr>
        <w:jc w:val="both"/>
        <w:rPr>
          <w:b/>
          <w:sz w:val="22"/>
          <w:szCs w:val="22"/>
        </w:rPr>
      </w:pPr>
      <w:r>
        <w:rPr>
          <w:b/>
          <w:sz w:val="22"/>
          <w:szCs w:val="22"/>
        </w:rPr>
        <w:t xml:space="preserve">1. OBJETO: </w:t>
      </w:r>
    </w:p>
    <w:p w14:paraId="52DA68FB">
      <w:pPr>
        <w:jc w:val="both"/>
        <w:rPr>
          <w:b/>
          <w:sz w:val="22"/>
          <w:szCs w:val="22"/>
        </w:rPr>
      </w:pPr>
    </w:p>
    <w:p w14:paraId="65790CB0">
      <w:pPr>
        <w:numPr>
          <w:ilvl w:val="1"/>
          <w:numId w:val="3"/>
        </w:numPr>
        <w:ind w:firstLine="708"/>
        <w:jc w:val="both"/>
        <w:rPr>
          <w:rFonts w:hint="default" w:cs="Arial"/>
          <w:lang w:val="pt-BR"/>
        </w:rPr>
      </w:pPr>
      <w:r>
        <w:rPr>
          <w:bCs/>
          <w:sz w:val="22"/>
          <w:szCs w:val="22"/>
        </w:rPr>
        <w:t xml:space="preserve">– </w:t>
      </w:r>
      <w:r>
        <w:rPr>
          <w:rFonts w:hint="default" w:ascii="Times New Roman" w:hAnsi="Times New Roman" w:eastAsia="Times New Roman" w:cs="Times New Roman"/>
          <w:bCs/>
          <w:kern w:val="0"/>
          <w:sz w:val="22"/>
          <w:szCs w:val="22"/>
          <w:lang w:val="pt-BR" w:eastAsia="pt-BR" w:bidi="ar-SA"/>
          <w14:ligatures w14:val="none"/>
        </w:rPr>
        <w:t>CONTRATAÇÃO DE EMPRESA ESPECIALIZADA PARA CONSTRUÇÃO DE UMA CRECHE PRÉ ESCOLA, TIPO 01, CONFORME PADRÕES ESTABELECIDOS PELO FUNDO NACIONAL DE DESENVOLVIMENTO DA EDUCAÇÃO - FNDE. CONVÊNIO DO PAC FIRMADO COM O MUNICÍPIO SOB O Nº 964209 - PAC - MINISTÉRIO DA EDUCAÇÃO, TERMO DO CONTRATO Nº 1096469-41.</w:t>
      </w:r>
    </w:p>
    <w:p w14:paraId="281D9BD6">
      <w:pPr>
        <w:jc w:val="both"/>
        <w:rPr>
          <w:sz w:val="22"/>
          <w:szCs w:val="22"/>
        </w:rPr>
      </w:pPr>
    </w:p>
    <w:p w14:paraId="58B5958C">
      <w:pPr>
        <w:jc w:val="both"/>
        <w:rPr>
          <w:sz w:val="22"/>
          <w:szCs w:val="22"/>
        </w:rPr>
      </w:pPr>
    </w:p>
    <w:p w14:paraId="12F01CFD">
      <w:pPr>
        <w:jc w:val="both"/>
        <w:rPr>
          <w:b/>
          <w:bCs/>
          <w:sz w:val="22"/>
          <w:szCs w:val="22"/>
        </w:rPr>
      </w:pPr>
      <w:r>
        <w:rPr>
          <w:b/>
          <w:bCs/>
          <w:sz w:val="22"/>
          <w:szCs w:val="22"/>
        </w:rPr>
        <w:t>2.ESPECIFICAÇÃO DO OBJETO:</w:t>
      </w:r>
    </w:p>
    <w:p w14:paraId="2094CAE3">
      <w:pPr>
        <w:jc w:val="both"/>
        <w:rPr>
          <w:b/>
          <w:bCs/>
          <w:sz w:val="22"/>
          <w:szCs w:val="22"/>
        </w:rPr>
      </w:pPr>
    </w:p>
    <w:tbl>
      <w:tblPr>
        <w:tblStyle w:val="1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78"/>
        <w:gridCol w:w="5483"/>
        <w:gridCol w:w="1158"/>
        <w:gridCol w:w="1401"/>
      </w:tblGrid>
      <w:tr w14:paraId="774653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82" w:type="dxa"/>
          </w:tcPr>
          <w:p w14:paraId="07382A0E">
            <w:pPr>
              <w:jc w:val="center"/>
              <w:rPr>
                <w:b/>
                <w:sz w:val="22"/>
                <w:szCs w:val="22"/>
              </w:rPr>
            </w:pPr>
            <w:r>
              <w:rPr>
                <w:b/>
                <w:sz w:val="22"/>
                <w:szCs w:val="22"/>
              </w:rPr>
              <w:t>Item</w:t>
            </w:r>
          </w:p>
        </w:tc>
        <w:tc>
          <w:tcPr>
            <w:tcW w:w="5976" w:type="dxa"/>
          </w:tcPr>
          <w:p w14:paraId="10B2086C">
            <w:pPr>
              <w:jc w:val="center"/>
              <w:rPr>
                <w:b/>
                <w:sz w:val="22"/>
                <w:szCs w:val="22"/>
              </w:rPr>
            </w:pPr>
            <w:r>
              <w:rPr>
                <w:b/>
                <w:sz w:val="22"/>
                <w:szCs w:val="22"/>
              </w:rPr>
              <w:t>Descrição</w:t>
            </w:r>
          </w:p>
        </w:tc>
        <w:tc>
          <w:tcPr>
            <w:tcW w:w="1134" w:type="dxa"/>
          </w:tcPr>
          <w:p w14:paraId="18F9C697">
            <w:pPr>
              <w:jc w:val="center"/>
              <w:rPr>
                <w:b/>
                <w:sz w:val="22"/>
                <w:szCs w:val="22"/>
              </w:rPr>
            </w:pPr>
            <w:r>
              <w:rPr>
                <w:b/>
                <w:sz w:val="22"/>
                <w:szCs w:val="22"/>
              </w:rPr>
              <w:t>Unidade</w:t>
            </w:r>
          </w:p>
        </w:tc>
        <w:tc>
          <w:tcPr>
            <w:tcW w:w="1412" w:type="dxa"/>
          </w:tcPr>
          <w:p w14:paraId="414460E7">
            <w:pPr>
              <w:jc w:val="center"/>
              <w:rPr>
                <w:b/>
                <w:sz w:val="22"/>
                <w:szCs w:val="22"/>
              </w:rPr>
            </w:pPr>
            <w:r>
              <w:rPr>
                <w:b/>
                <w:sz w:val="22"/>
                <w:szCs w:val="22"/>
              </w:rPr>
              <w:t>Quantidade</w:t>
            </w:r>
          </w:p>
        </w:tc>
      </w:tr>
      <w:tr w14:paraId="341E49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82" w:type="dxa"/>
          </w:tcPr>
          <w:p w14:paraId="60092600">
            <w:pPr>
              <w:jc w:val="center"/>
              <w:rPr>
                <w:bCs/>
                <w:sz w:val="22"/>
                <w:szCs w:val="22"/>
              </w:rPr>
            </w:pPr>
          </w:p>
          <w:p w14:paraId="5A03C210">
            <w:pPr>
              <w:jc w:val="center"/>
              <w:rPr>
                <w:bCs/>
                <w:sz w:val="22"/>
                <w:szCs w:val="22"/>
              </w:rPr>
            </w:pPr>
            <w:r>
              <w:rPr>
                <w:bCs/>
                <w:sz w:val="22"/>
                <w:szCs w:val="22"/>
              </w:rPr>
              <w:t>1</w:t>
            </w:r>
          </w:p>
        </w:tc>
        <w:tc>
          <w:tcPr>
            <w:tcW w:w="5976" w:type="dxa"/>
            <w:vAlign w:val="center"/>
          </w:tcPr>
          <w:p w14:paraId="5D38C783">
            <w:pPr>
              <w:shd w:val="clear" w:color="auto" w:fill="FFFFFF"/>
              <w:rPr>
                <w:bCs/>
                <w:sz w:val="22"/>
                <w:szCs w:val="22"/>
              </w:rPr>
            </w:pPr>
            <w:r>
              <w:rPr>
                <w:rFonts w:hint="default" w:ascii="Times New Roman" w:hAnsi="Times New Roman" w:eastAsia="Times New Roman" w:cs="Times New Roman"/>
                <w:bCs/>
                <w:kern w:val="0"/>
                <w:sz w:val="22"/>
                <w:szCs w:val="22"/>
                <w:lang w:val="pt-BR" w:eastAsia="pt-BR" w:bidi="ar-SA"/>
                <w14:ligatures w14:val="none"/>
              </w:rPr>
              <w:t>CONTRATAÇÃO DE EMPRESA ESPECIALIZADA PARA CONSTRUÇÃO DE UMA CRECHE PRÉ ESCOLA, TIPO 01, CONFORME PADRÕES ESTABELECIDOS PELO FUNDO NACIONAL DE DESENVOLVIMENTO DA EDUCAÇÃO - FNDE. CONVÊNIO DO PAC FIRMADO COM O MUNICÍPIO SOB O Nº 964209 - PAC - MINISTÉRIO DA EDUCAÇÃO, TERMO DO CONTRATO Nº 1096469-41.</w:t>
            </w:r>
          </w:p>
        </w:tc>
        <w:tc>
          <w:tcPr>
            <w:tcW w:w="1134" w:type="dxa"/>
          </w:tcPr>
          <w:p w14:paraId="664AD56A">
            <w:pPr>
              <w:jc w:val="both"/>
              <w:rPr>
                <w:rFonts w:hint="default"/>
                <w:bCs/>
                <w:sz w:val="22"/>
                <w:szCs w:val="22"/>
                <w:lang w:val="pt-BR"/>
              </w:rPr>
            </w:pPr>
            <w:r>
              <w:rPr>
                <w:rFonts w:hint="default"/>
                <w:bCs/>
                <w:sz w:val="22"/>
                <w:szCs w:val="22"/>
                <w:lang w:val="pt-BR"/>
              </w:rPr>
              <w:t>SERVIÇO</w:t>
            </w:r>
          </w:p>
        </w:tc>
        <w:tc>
          <w:tcPr>
            <w:tcW w:w="1412" w:type="dxa"/>
          </w:tcPr>
          <w:p w14:paraId="5FEA21C4">
            <w:pPr>
              <w:jc w:val="center"/>
              <w:rPr>
                <w:rFonts w:hint="default"/>
                <w:bCs/>
                <w:sz w:val="22"/>
                <w:szCs w:val="22"/>
                <w:lang w:val="pt-BR"/>
              </w:rPr>
            </w:pPr>
            <w:r>
              <w:rPr>
                <w:rFonts w:hint="default"/>
                <w:bCs/>
                <w:sz w:val="22"/>
                <w:szCs w:val="22"/>
                <w:lang w:val="pt-BR"/>
              </w:rPr>
              <w:t>01</w:t>
            </w:r>
          </w:p>
        </w:tc>
      </w:tr>
    </w:tbl>
    <w:p w14:paraId="08F1B44E">
      <w:pPr>
        <w:jc w:val="both"/>
        <w:rPr>
          <w:b/>
          <w:bCs/>
          <w:sz w:val="22"/>
          <w:szCs w:val="22"/>
        </w:rPr>
      </w:pPr>
    </w:p>
    <w:p w14:paraId="3B9ED24D">
      <w:pPr>
        <w:jc w:val="both"/>
        <w:rPr>
          <w:sz w:val="22"/>
          <w:szCs w:val="22"/>
        </w:rPr>
      </w:pPr>
      <w:r>
        <w:rPr>
          <w:b/>
          <w:bCs/>
          <w:sz w:val="22"/>
          <w:szCs w:val="22"/>
        </w:rPr>
        <w:tab/>
      </w:r>
      <w:r>
        <w:rPr>
          <w:sz w:val="22"/>
          <w:szCs w:val="22"/>
        </w:rPr>
        <w:t>2.1 – Descrição detalhada dos métodos, rotinas, etapas, tecnologias, procedimentos, frequência e periodicidade de execução do trabalho.</w:t>
      </w:r>
    </w:p>
    <w:p w14:paraId="5F27066D">
      <w:pPr>
        <w:jc w:val="both"/>
        <w:rPr>
          <w:sz w:val="22"/>
          <w:szCs w:val="22"/>
        </w:rPr>
      </w:pPr>
    </w:p>
    <w:p w14:paraId="7A083D17">
      <w:pPr>
        <w:jc w:val="both"/>
        <w:rPr>
          <w:rFonts w:hint="default"/>
          <w:sz w:val="22"/>
          <w:szCs w:val="22"/>
        </w:rPr>
      </w:pPr>
      <w:r>
        <w:rPr>
          <w:rFonts w:hint="default"/>
          <w:sz w:val="22"/>
          <w:szCs w:val="22"/>
        </w:rPr>
        <w:t xml:space="preserve">O detalhamento completo dos métodos, rotinas, etapas, tecnologias, procedimentos, frequência e periodicidade de execução do trabalho é regido pelo documento Memorial Descritivo do Projeto Creche Pré-Escola Tipo 1 </w:t>
      </w:r>
      <w:r>
        <w:rPr>
          <w:rFonts w:hint="default"/>
          <w:sz w:val="22"/>
          <w:szCs w:val="22"/>
          <w:lang w:val="pt-BR"/>
        </w:rPr>
        <w:t>em anexo,</w:t>
      </w:r>
      <w:r>
        <w:rPr>
          <w:rFonts w:hint="default"/>
          <w:sz w:val="22"/>
          <w:szCs w:val="22"/>
        </w:rPr>
        <w:t xml:space="preserve"> o qual constitui parte integrante e indissociável deste Termo de Referência.</w:t>
      </w:r>
    </w:p>
    <w:p w14:paraId="2BCFD328">
      <w:pPr>
        <w:jc w:val="both"/>
        <w:rPr>
          <w:rFonts w:hint="default"/>
          <w:sz w:val="22"/>
          <w:szCs w:val="22"/>
        </w:rPr>
      </w:pPr>
      <w:r>
        <w:rPr>
          <w:rFonts w:hint="default"/>
          <w:sz w:val="22"/>
          <w:szCs w:val="22"/>
        </w:rPr>
        <w:t>A execução do objeto contratual deverá seguir rigorosamente as especificações, materiais, dimensões e sequências executivas estabelecidas no referido Memorial Descritivo e seus respectivos projetos (Arquitetônico, Estrutural, Hidrossanitário, Elétrico e Mecânico).</w:t>
      </w:r>
    </w:p>
    <w:p w14:paraId="70D9FD00">
      <w:pPr>
        <w:jc w:val="both"/>
        <w:rPr>
          <w:rFonts w:hint="default"/>
          <w:sz w:val="22"/>
          <w:szCs w:val="22"/>
        </w:rPr>
      </w:pPr>
    </w:p>
    <w:p w14:paraId="34AD2007">
      <w:pPr>
        <w:jc w:val="both"/>
        <w:rPr>
          <w:rFonts w:hint="default"/>
          <w:sz w:val="22"/>
          <w:szCs w:val="22"/>
        </w:rPr>
      </w:pPr>
      <w:r>
        <w:rPr>
          <w:rFonts w:hint="default"/>
          <w:sz w:val="22"/>
          <w:szCs w:val="22"/>
        </w:rPr>
        <w:t>A título de resumo e diretriz principal, destacam-se os seguintes pontos:</w:t>
      </w:r>
    </w:p>
    <w:p w14:paraId="085BF69B">
      <w:pPr>
        <w:jc w:val="both"/>
        <w:rPr>
          <w:rFonts w:hint="default"/>
          <w:sz w:val="22"/>
          <w:szCs w:val="22"/>
        </w:rPr>
      </w:pPr>
    </w:p>
    <w:p w14:paraId="1351BABC">
      <w:pPr>
        <w:jc w:val="both"/>
        <w:rPr>
          <w:rFonts w:hint="default"/>
          <w:sz w:val="22"/>
          <w:szCs w:val="22"/>
        </w:rPr>
      </w:pPr>
      <w:r>
        <w:rPr>
          <w:rFonts w:hint="default"/>
          <w:sz w:val="22"/>
          <w:szCs w:val="22"/>
        </w:rPr>
        <w:t>1. Tecnologia e Sistema Construtivo</w:t>
      </w:r>
    </w:p>
    <w:p w14:paraId="7268E187">
      <w:pPr>
        <w:jc w:val="both"/>
        <w:rPr>
          <w:rFonts w:hint="default"/>
          <w:sz w:val="22"/>
          <w:szCs w:val="22"/>
        </w:rPr>
      </w:pPr>
      <w:r>
        <w:rPr>
          <w:rFonts w:hint="default"/>
          <w:sz w:val="22"/>
          <w:szCs w:val="22"/>
        </w:rPr>
        <w:t>Tecnologia Predominante: O sistema construtivo principal prevê a utilização de estrutura em concreto armado moldado in loco (vigas, pilares e lajes) e alvenaria de blocos cerâmicos para vedação vertical.</w:t>
      </w:r>
    </w:p>
    <w:p w14:paraId="7DA346E4">
      <w:pPr>
        <w:jc w:val="both"/>
        <w:rPr>
          <w:rFonts w:hint="default"/>
          <w:sz w:val="22"/>
          <w:szCs w:val="22"/>
        </w:rPr>
      </w:pPr>
    </w:p>
    <w:p w14:paraId="4269FEE7">
      <w:pPr>
        <w:jc w:val="both"/>
        <w:rPr>
          <w:rFonts w:hint="default"/>
          <w:sz w:val="22"/>
          <w:szCs w:val="22"/>
        </w:rPr>
      </w:pPr>
    </w:p>
    <w:p w14:paraId="6A73BDC5">
      <w:pPr>
        <w:jc w:val="both"/>
        <w:rPr>
          <w:rFonts w:hint="default"/>
          <w:sz w:val="22"/>
          <w:szCs w:val="22"/>
        </w:rPr>
      </w:pPr>
    </w:p>
    <w:p w14:paraId="024F3F5C">
      <w:pPr>
        <w:jc w:val="both"/>
        <w:rPr>
          <w:rFonts w:hint="default"/>
          <w:sz w:val="22"/>
          <w:szCs w:val="22"/>
        </w:rPr>
      </w:pPr>
      <w:r>
        <w:rPr>
          <w:rFonts w:hint="default"/>
          <w:sz w:val="22"/>
          <w:szCs w:val="22"/>
        </w:rPr>
        <w:t>Fundações e Adaptação: A execução das fundações (estacas, sapatas) deverá ser definida e/ou ajustada em função do laudo de sondagem local, garantindo a estabilidade e segurança estrutural conforme a análise técnica do solo e não apenas o projeto padrão.</w:t>
      </w:r>
    </w:p>
    <w:p w14:paraId="377A9947">
      <w:pPr>
        <w:jc w:val="both"/>
        <w:rPr>
          <w:rFonts w:hint="default"/>
          <w:sz w:val="22"/>
          <w:szCs w:val="22"/>
        </w:rPr>
      </w:pPr>
    </w:p>
    <w:p w14:paraId="3FB82036">
      <w:pPr>
        <w:jc w:val="both"/>
        <w:rPr>
          <w:rFonts w:hint="default"/>
          <w:sz w:val="22"/>
          <w:szCs w:val="22"/>
        </w:rPr>
      </w:pPr>
      <w:r>
        <w:rPr>
          <w:rFonts w:hint="default"/>
          <w:sz w:val="22"/>
          <w:szCs w:val="22"/>
        </w:rPr>
        <w:t>Cobertura: Utilização de telhas termoacústicas tipo "sanduíche" sobre estrutura metálica, instaladas com calhas, rufos e pingadeiras metálicos.</w:t>
      </w:r>
    </w:p>
    <w:p w14:paraId="1CF53111">
      <w:pPr>
        <w:jc w:val="both"/>
        <w:rPr>
          <w:rFonts w:hint="default"/>
          <w:sz w:val="22"/>
          <w:szCs w:val="22"/>
        </w:rPr>
      </w:pPr>
    </w:p>
    <w:p w14:paraId="063105BD">
      <w:pPr>
        <w:jc w:val="both"/>
        <w:rPr>
          <w:rFonts w:hint="default"/>
          <w:sz w:val="22"/>
          <w:szCs w:val="22"/>
        </w:rPr>
      </w:pPr>
      <w:r>
        <w:rPr>
          <w:rFonts w:hint="default"/>
          <w:sz w:val="22"/>
          <w:szCs w:val="22"/>
        </w:rPr>
        <w:t>Acabamentos e Pisos: Os revestimentos devem seguir as especificações detalhadas, incluindo pisos monolíticos em granitina, pisos em cerâmica e piso vinílico em manta. A acessibilidade é garantida pelo uso obrigatório de piso tátil (direcional e de alerta).</w:t>
      </w:r>
    </w:p>
    <w:p w14:paraId="08AE7DB0">
      <w:pPr>
        <w:jc w:val="both"/>
        <w:rPr>
          <w:rFonts w:hint="default"/>
          <w:sz w:val="22"/>
          <w:szCs w:val="22"/>
        </w:rPr>
      </w:pPr>
    </w:p>
    <w:p w14:paraId="5A127484">
      <w:pPr>
        <w:jc w:val="both"/>
        <w:rPr>
          <w:rFonts w:hint="default"/>
          <w:sz w:val="22"/>
          <w:szCs w:val="22"/>
        </w:rPr>
      </w:pPr>
      <w:r>
        <w:rPr>
          <w:rFonts w:hint="default"/>
          <w:sz w:val="22"/>
          <w:szCs w:val="22"/>
        </w:rPr>
        <w:t>2. Rotinas, Procedimentos e Etapas Chave</w:t>
      </w:r>
    </w:p>
    <w:p w14:paraId="2E1921EF">
      <w:pPr>
        <w:jc w:val="both"/>
        <w:rPr>
          <w:rFonts w:hint="default"/>
          <w:sz w:val="22"/>
          <w:szCs w:val="22"/>
        </w:rPr>
      </w:pPr>
      <w:r>
        <w:rPr>
          <w:rFonts w:hint="default"/>
          <w:sz w:val="22"/>
          <w:szCs w:val="22"/>
        </w:rPr>
        <w:t>Sequência de Execução: Os procedimentos devem obedecer à sequência lógica de execução detalhada por disciplina no Memorial Descritivo, incluindo movimento de terra, fundações, estrutura, vedações, instalações e acabamentos.</w:t>
      </w:r>
    </w:p>
    <w:p w14:paraId="40BF50C9">
      <w:pPr>
        <w:jc w:val="both"/>
        <w:rPr>
          <w:rFonts w:hint="default"/>
          <w:sz w:val="22"/>
          <w:szCs w:val="22"/>
        </w:rPr>
      </w:pPr>
    </w:p>
    <w:p w14:paraId="01C49F67">
      <w:pPr>
        <w:jc w:val="both"/>
        <w:rPr>
          <w:rFonts w:hint="default"/>
          <w:sz w:val="22"/>
          <w:szCs w:val="22"/>
        </w:rPr>
      </w:pPr>
      <w:r>
        <w:rPr>
          <w:rFonts w:hint="default"/>
          <w:sz w:val="22"/>
          <w:szCs w:val="22"/>
        </w:rPr>
        <w:t>Cura do Concreto: É mandatório respeitar os prazos mínimos normativos, como o prazo de 28 dias para a retirada do escoramento das estruturas de concreto armado.</w:t>
      </w:r>
    </w:p>
    <w:p w14:paraId="5E571F76">
      <w:pPr>
        <w:jc w:val="both"/>
        <w:rPr>
          <w:rFonts w:hint="default"/>
          <w:sz w:val="22"/>
          <w:szCs w:val="22"/>
        </w:rPr>
      </w:pPr>
    </w:p>
    <w:p w14:paraId="4BD4DA00">
      <w:pPr>
        <w:jc w:val="both"/>
        <w:rPr>
          <w:rFonts w:hint="default"/>
          <w:sz w:val="22"/>
          <w:szCs w:val="22"/>
        </w:rPr>
      </w:pPr>
      <w:r>
        <w:rPr>
          <w:rFonts w:hint="default"/>
          <w:sz w:val="22"/>
          <w:szCs w:val="22"/>
        </w:rPr>
        <w:t>Instalações: A execução das instalações deve seguir os Processos Executivos detalhados, abrangendo:</w:t>
      </w:r>
    </w:p>
    <w:p w14:paraId="53B70465">
      <w:pPr>
        <w:jc w:val="both"/>
        <w:rPr>
          <w:rFonts w:hint="default"/>
          <w:sz w:val="22"/>
          <w:szCs w:val="22"/>
        </w:rPr>
      </w:pPr>
    </w:p>
    <w:p w14:paraId="20BB0816">
      <w:pPr>
        <w:jc w:val="both"/>
        <w:rPr>
          <w:rFonts w:hint="default"/>
          <w:sz w:val="22"/>
          <w:szCs w:val="22"/>
        </w:rPr>
      </w:pPr>
      <w:r>
        <w:rPr>
          <w:rFonts w:hint="default"/>
          <w:sz w:val="22"/>
          <w:szCs w:val="22"/>
        </w:rPr>
        <w:t>Hidrossanitário: Instalações de água fria, águas pluviais, esgoto sanitário, e o sistema de combate a incêndio por hidrantes (com Reserva Técnica de Incêndio de 12.000L).</w:t>
      </w:r>
    </w:p>
    <w:p w14:paraId="1233A0A6">
      <w:pPr>
        <w:jc w:val="both"/>
        <w:rPr>
          <w:rFonts w:hint="default"/>
          <w:sz w:val="22"/>
          <w:szCs w:val="22"/>
        </w:rPr>
      </w:pPr>
    </w:p>
    <w:p w14:paraId="6E575C69">
      <w:pPr>
        <w:jc w:val="both"/>
        <w:rPr>
          <w:rFonts w:hint="default"/>
          <w:sz w:val="22"/>
          <w:szCs w:val="22"/>
        </w:rPr>
      </w:pPr>
      <w:r>
        <w:rPr>
          <w:rFonts w:hint="default"/>
          <w:sz w:val="22"/>
          <w:szCs w:val="22"/>
        </w:rPr>
        <w:t>Elétrica: Instalações elétricas (força e iluminação), cabeamento estruturado e o Sistema de Proteção Contra Descargas Atmosféricas (SPDA).</w:t>
      </w:r>
    </w:p>
    <w:p w14:paraId="74862710">
      <w:pPr>
        <w:jc w:val="both"/>
        <w:rPr>
          <w:rFonts w:hint="default"/>
          <w:sz w:val="22"/>
          <w:szCs w:val="22"/>
        </w:rPr>
      </w:pPr>
    </w:p>
    <w:p w14:paraId="7C498DC2">
      <w:pPr>
        <w:jc w:val="both"/>
        <w:rPr>
          <w:rFonts w:hint="default"/>
          <w:sz w:val="22"/>
          <w:szCs w:val="22"/>
        </w:rPr>
      </w:pPr>
      <w:r>
        <w:rPr>
          <w:rFonts w:hint="default"/>
          <w:sz w:val="22"/>
          <w:szCs w:val="22"/>
        </w:rPr>
        <w:t>Mecânica: Instalações de ar-condicionado (climatização), sistema de exaustão e gás combustível.</w:t>
      </w:r>
    </w:p>
    <w:p w14:paraId="023A4308">
      <w:pPr>
        <w:jc w:val="both"/>
        <w:rPr>
          <w:rFonts w:hint="default"/>
          <w:sz w:val="22"/>
          <w:szCs w:val="22"/>
        </w:rPr>
      </w:pPr>
    </w:p>
    <w:p w14:paraId="1083C5D9">
      <w:pPr>
        <w:jc w:val="both"/>
        <w:rPr>
          <w:rFonts w:hint="default"/>
          <w:sz w:val="22"/>
          <w:szCs w:val="22"/>
        </w:rPr>
      </w:pPr>
      <w:r>
        <w:rPr>
          <w:rFonts w:hint="default"/>
          <w:sz w:val="22"/>
          <w:szCs w:val="22"/>
        </w:rPr>
        <w:t>3. Frequência e Periodicidade (implícitas no projeto)</w:t>
      </w:r>
    </w:p>
    <w:p w14:paraId="7C35DBA4">
      <w:pPr>
        <w:jc w:val="both"/>
        <w:rPr>
          <w:rFonts w:hint="default"/>
          <w:sz w:val="22"/>
          <w:szCs w:val="22"/>
        </w:rPr>
      </w:pPr>
      <w:r>
        <w:rPr>
          <w:rFonts w:hint="default"/>
          <w:sz w:val="22"/>
          <w:szCs w:val="22"/>
        </w:rPr>
        <w:t xml:space="preserve">Periodicidade dos Trabalhos: A periodicidade de execução se refere à sequência executiva dos elementos construtivos, com a necessidade de cumprir os prazos técnicos entre etapas (ex: cura do concreto, tempo de secagem de revestimentos, conforme detalhado nas especificações de cada item no </w:t>
      </w:r>
      <w:r>
        <w:rPr>
          <w:rFonts w:hint="default"/>
          <w:sz w:val="22"/>
          <w:szCs w:val="22"/>
          <w:lang w:val="pt-BR"/>
        </w:rPr>
        <w:t>anexo do Memorial Descritivo</w:t>
      </w:r>
      <w:r>
        <w:rPr>
          <w:rFonts w:hint="default"/>
          <w:sz w:val="22"/>
          <w:szCs w:val="22"/>
        </w:rPr>
        <w:t>).</w:t>
      </w:r>
    </w:p>
    <w:p w14:paraId="3E34F87E">
      <w:pPr>
        <w:jc w:val="both"/>
        <w:rPr>
          <w:rFonts w:hint="default"/>
          <w:sz w:val="22"/>
          <w:szCs w:val="22"/>
        </w:rPr>
      </w:pPr>
    </w:p>
    <w:p w14:paraId="1AC2EE04">
      <w:pPr>
        <w:jc w:val="both"/>
        <w:rPr>
          <w:sz w:val="22"/>
          <w:szCs w:val="22"/>
        </w:rPr>
      </w:pPr>
      <w:r>
        <w:rPr>
          <w:rFonts w:hint="default"/>
          <w:sz w:val="22"/>
          <w:szCs w:val="22"/>
        </w:rPr>
        <w:t>Vida Útil do Projeto: O projeto possui uma Vida Útil de Projeto (VUP) definida na Tabela 1 do Memorial, que serve como parâmetro para a durabilidade dos materiais e a periodicidade das futuras manutenções da edificação.</w:t>
      </w:r>
    </w:p>
    <w:p w14:paraId="56F6B621">
      <w:pPr>
        <w:jc w:val="both"/>
        <w:rPr>
          <w:sz w:val="22"/>
          <w:szCs w:val="22"/>
        </w:rPr>
      </w:pPr>
    </w:p>
    <w:p w14:paraId="51B5E7E1">
      <w:pPr>
        <w:jc w:val="both"/>
        <w:rPr>
          <w:sz w:val="22"/>
          <w:szCs w:val="22"/>
        </w:rPr>
      </w:pPr>
      <w:r>
        <w:rPr>
          <w:sz w:val="22"/>
          <w:szCs w:val="22"/>
        </w:rPr>
        <w:tab/>
      </w:r>
      <w:r>
        <w:rPr>
          <w:sz w:val="22"/>
          <w:szCs w:val="22"/>
        </w:rPr>
        <w:t>2.2 – Cronograma de realização do serviço:</w:t>
      </w:r>
    </w:p>
    <w:p w14:paraId="7FED78A9">
      <w:pPr>
        <w:jc w:val="both"/>
        <w:rPr>
          <w:sz w:val="22"/>
          <w:szCs w:val="22"/>
        </w:rPr>
      </w:pPr>
    </w:p>
    <w:p w14:paraId="4A8D7F0D">
      <w:pPr>
        <w:jc w:val="both"/>
        <w:rPr>
          <w:rFonts w:hint="default"/>
          <w:sz w:val="22"/>
          <w:szCs w:val="22"/>
          <w:lang w:val="pt-BR"/>
        </w:rPr>
      </w:pPr>
      <w:r>
        <w:rPr>
          <w:rFonts w:hint="default"/>
          <w:sz w:val="22"/>
          <w:szCs w:val="22"/>
          <w:lang w:val="pt-BR"/>
        </w:rPr>
        <w:t>Cronograma de realização dos serviços será de acordo com o cronograma físico financeiro em anexo.</w:t>
      </w:r>
    </w:p>
    <w:p w14:paraId="6F2CA4A7">
      <w:pPr>
        <w:jc w:val="both"/>
        <w:rPr>
          <w:rFonts w:hint="default"/>
          <w:sz w:val="22"/>
          <w:szCs w:val="22"/>
          <w:lang w:val="pt-BR"/>
        </w:rPr>
      </w:pPr>
    </w:p>
    <w:p w14:paraId="345F959F">
      <w:pPr>
        <w:keepNext w:val="0"/>
        <w:keepLines w:val="0"/>
        <w:widowControl/>
        <w:suppressLineNumbers w:val="0"/>
        <w:jc w:val="left"/>
        <w:rPr>
          <w:rFonts w:hint="default" w:ascii="Times New Roman" w:hAnsi="Times New Roman" w:eastAsia="SimSun" w:cs="Times New Roman"/>
          <w:kern w:val="0"/>
          <w:sz w:val="22"/>
          <w:szCs w:val="22"/>
          <w:lang w:val="en-US" w:eastAsia="zh-CN" w:bidi="ar"/>
          <w14:ligatures w14:val="none"/>
        </w:rPr>
      </w:pPr>
      <w:r>
        <w:rPr>
          <w:rFonts w:hint="default" w:ascii="Times New Roman" w:hAnsi="Times New Roman" w:eastAsia="SimSun" w:cs="Times New Roman"/>
          <w:kern w:val="0"/>
          <w:sz w:val="22"/>
          <w:szCs w:val="22"/>
          <w:lang w:val="en-US" w:eastAsia="zh-CN" w:bidi="ar"/>
          <w14:ligatures w14:val="none"/>
        </w:rPr>
        <w:tab/>
      </w:r>
      <w:r>
        <w:rPr>
          <w:rFonts w:hint="default" w:ascii="Times New Roman" w:hAnsi="Times New Roman" w:eastAsia="SimSun" w:cs="Times New Roman"/>
          <w:kern w:val="0"/>
          <w:sz w:val="22"/>
          <w:szCs w:val="22"/>
          <w:lang w:val="en-US" w:eastAsia="zh-CN" w:bidi="ar"/>
          <w14:ligatures w14:val="none"/>
        </w:rPr>
        <w:t>2.3 – Local(is) e horários da prestação do serviço:</w:t>
      </w:r>
    </w:p>
    <w:p w14:paraId="6BECACA0">
      <w:pPr>
        <w:keepNext w:val="0"/>
        <w:keepLines w:val="0"/>
        <w:widowControl/>
        <w:suppressLineNumbers w:val="0"/>
        <w:jc w:val="left"/>
        <w:rPr>
          <w:rFonts w:hint="default" w:ascii="Times New Roman" w:hAnsi="Times New Roman" w:eastAsia="SimSun" w:cs="Times New Roman"/>
          <w:kern w:val="0"/>
          <w:sz w:val="22"/>
          <w:szCs w:val="22"/>
          <w:lang w:val="en-US" w:eastAsia="zh-CN" w:bidi="ar"/>
          <w14:ligatures w14:val="none"/>
        </w:rPr>
      </w:pPr>
    </w:p>
    <w:p w14:paraId="08C8BDB5">
      <w:pPr>
        <w:keepNext w:val="0"/>
        <w:keepLines w:val="0"/>
        <w:widowControl/>
        <w:suppressLineNumbers w:val="0"/>
        <w:jc w:val="left"/>
        <w:rPr>
          <w:rFonts w:hint="default" w:ascii="Times New Roman" w:hAnsi="Times New Roman" w:eastAsia="SimSun" w:cs="Times New Roman"/>
          <w:kern w:val="0"/>
          <w:sz w:val="22"/>
          <w:szCs w:val="22"/>
          <w:lang w:val="pt-BR" w:eastAsia="zh-CN" w:bidi="ar"/>
          <w14:ligatures w14:val="none"/>
        </w:rPr>
      </w:pPr>
      <w:r>
        <w:rPr>
          <w:rFonts w:hint="default" w:ascii="Times New Roman" w:hAnsi="Times New Roman" w:eastAsia="SimSun" w:cs="Times New Roman"/>
          <w:kern w:val="0"/>
          <w:sz w:val="22"/>
          <w:szCs w:val="22"/>
          <w:lang w:val="en-US" w:eastAsia="zh-CN" w:bidi="ar"/>
          <w14:ligatures w14:val="none"/>
        </w:rPr>
        <w:t>Rua Ubaldo José da Rocha S/N, Papucaia, Cachoeiras de Macacu/RJ CEP: 28691-263</w:t>
      </w:r>
      <w:r>
        <w:rPr>
          <w:rFonts w:hint="default" w:ascii="Times New Roman" w:hAnsi="Times New Roman" w:eastAsia="SimSun" w:cs="Times New Roman"/>
          <w:kern w:val="0"/>
          <w:sz w:val="22"/>
          <w:szCs w:val="22"/>
          <w:lang w:val="pt-BR" w:eastAsia="zh-CN" w:bidi="ar"/>
          <w14:ligatures w14:val="none"/>
        </w:rPr>
        <w:t>.</w:t>
      </w:r>
    </w:p>
    <w:p w14:paraId="61644778">
      <w:pPr>
        <w:jc w:val="both"/>
        <w:rPr>
          <w:sz w:val="22"/>
          <w:szCs w:val="22"/>
        </w:rPr>
      </w:pPr>
    </w:p>
    <w:p w14:paraId="5F16A12E">
      <w:pPr>
        <w:pStyle w:val="19"/>
        <w:numPr>
          <w:ilvl w:val="1"/>
          <w:numId w:val="4"/>
        </w:numPr>
        <w:jc w:val="both"/>
        <w:rPr>
          <w:rFonts w:ascii="Times New Roman" w:hAnsi="Times New Roman"/>
          <w:lang w:val="pt-BR"/>
        </w:rPr>
      </w:pPr>
      <w:r>
        <w:rPr>
          <w:rFonts w:ascii="Times New Roman" w:hAnsi="Times New Roman"/>
          <w:lang w:val="pt-BR"/>
        </w:rPr>
        <w:t>– Materiais a serem disponibilizados na prestação do serviço:</w:t>
      </w:r>
    </w:p>
    <w:p w14:paraId="1B805C3B">
      <w:pPr>
        <w:jc w:val="both"/>
        <w:rPr>
          <w:sz w:val="22"/>
          <w:szCs w:val="22"/>
        </w:rPr>
      </w:pPr>
      <w:r>
        <w:rPr>
          <w:rFonts w:ascii="Times New Roman" w:hAnsi="Times New Roman" w:cs="Times New Roman"/>
          <w:i w:val="0"/>
          <w:iCs w:val="0"/>
          <w:color w:val="auto"/>
          <w:sz w:val="22"/>
          <w:szCs w:val="22"/>
        </w:rPr>
        <w:t xml:space="preserve"> </w:t>
      </w:r>
      <w:r>
        <w:rPr>
          <w:sz w:val="22"/>
          <w:szCs w:val="22"/>
        </w:rPr>
        <w:t>Para a perfeita execução dos serviços contratados, a Contratada deverá providenciar todos os materiais, ferramentas, equipamentos e utensílios necessários à realização das atividades, em conformidade com as especificações técnicas exigidas, garantindo sua substituição imediata em caso de defeito, desgaste ou inadequação. Os materiais deverão atender aos padrões de qualidade e desempenho exigidos pela legislação vigente, assegurando a segurança e a eficiência da prestação dos serviços.</w:t>
      </w:r>
    </w:p>
    <w:p w14:paraId="1833C9ED">
      <w:pPr>
        <w:jc w:val="both"/>
        <w:rPr>
          <w:sz w:val="22"/>
          <w:szCs w:val="22"/>
        </w:rPr>
      </w:pPr>
    </w:p>
    <w:p w14:paraId="21CB377F">
      <w:pPr>
        <w:ind w:firstLine="708"/>
        <w:jc w:val="both"/>
        <w:rPr>
          <w:rFonts w:hint="default"/>
          <w:bCs/>
          <w:sz w:val="22"/>
          <w:szCs w:val="22"/>
          <w:lang w:val="pt-BR"/>
        </w:rPr>
      </w:pPr>
      <w:r>
        <w:rPr>
          <w:bCs/>
          <w:sz w:val="22"/>
          <w:szCs w:val="22"/>
        </w:rPr>
        <w:t>2.</w:t>
      </w:r>
      <w:r>
        <w:rPr>
          <w:rFonts w:hint="default"/>
          <w:bCs/>
          <w:sz w:val="22"/>
          <w:szCs w:val="22"/>
          <w:lang w:val="pt-BR"/>
        </w:rPr>
        <w:t>5</w:t>
      </w:r>
      <w:r>
        <w:rPr>
          <w:bCs/>
          <w:sz w:val="22"/>
          <w:szCs w:val="22"/>
        </w:rPr>
        <w:t xml:space="preserve"> -</w:t>
      </w:r>
      <w:r>
        <w:rPr>
          <w:rFonts w:hint="default"/>
          <w:bCs/>
          <w:sz w:val="22"/>
          <w:szCs w:val="22"/>
          <w:lang w:val="pt-BR"/>
        </w:rPr>
        <w:t xml:space="preserve"> Já foram disponibilizadas pela empresa Águas do Rio a Declaração de Possibilidade de Esgotamento Sanitário (DPE) e a Declaração de Possibilidade de Abastecimento de Água (DPA), documentos estes que constituem exigência da concessionária para a viabilização do local destinado à execução da obra.</w:t>
      </w:r>
    </w:p>
    <w:p w14:paraId="4DF9A058">
      <w:pPr>
        <w:ind w:firstLine="708"/>
        <w:jc w:val="both"/>
        <w:rPr>
          <w:rFonts w:hint="default"/>
          <w:bCs/>
          <w:sz w:val="22"/>
          <w:szCs w:val="22"/>
          <w:lang w:val="pt-BR"/>
        </w:rPr>
      </w:pPr>
    </w:p>
    <w:p w14:paraId="2DF9D611">
      <w:pPr>
        <w:jc w:val="both"/>
        <w:rPr>
          <w:sz w:val="22"/>
          <w:szCs w:val="22"/>
        </w:rPr>
      </w:pPr>
      <w:r>
        <w:rPr>
          <w:sz w:val="22"/>
          <w:szCs w:val="22"/>
        </w:rPr>
        <w:t>Ressalta-se que, após a conclusão da obra, deverá ser entregue o Databook para a vistoria das obras e emissão do Termo de Aceite.</w:t>
      </w:r>
    </w:p>
    <w:p w14:paraId="64960870">
      <w:pPr>
        <w:jc w:val="both"/>
        <w:rPr>
          <w:sz w:val="22"/>
          <w:szCs w:val="22"/>
        </w:rPr>
      </w:pPr>
    </w:p>
    <w:p w14:paraId="6ACEAEB7">
      <w:pPr>
        <w:jc w:val="both"/>
        <w:rPr>
          <w:sz w:val="22"/>
          <w:szCs w:val="22"/>
        </w:rPr>
      </w:pPr>
      <w:r>
        <w:rPr>
          <w:sz w:val="22"/>
          <w:szCs w:val="22"/>
        </w:rPr>
        <w:t>O Databook deve conter o conjunto completo de documentos que comprovem o histórico da execução da obra, do início ao fim, incluindo:</w:t>
      </w:r>
    </w:p>
    <w:p w14:paraId="16119041">
      <w:pPr>
        <w:jc w:val="both"/>
        <w:rPr>
          <w:sz w:val="22"/>
          <w:szCs w:val="22"/>
        </w:rPr>
      </w:pPr>
    </w:p>
    <w:p w14:paraId="3AD7C523">
      <w:pPr>
        <w:pStyle w:val="19"/>
        <w:numPr>
          <w:ilvl w:val="0"/>
          <w:numId w:val="5"/>
        </w:numPr>
        <w:jc w:val="both"/>
        <w:rPr>
          <w:rFonts w:ascii="Times New Roman" w:hAnsi="Times New Roman"/>
        </w:rPr>
      </w:pPr>
      <w:r>
        <w:rPr>
          <w:rFonts w:ascii="Times New Roman" w:hAnsi="Times New Roman"/>
        </w:rPr>
        <w:t>Relatório Fotográfico: registros visuais realizados antes, durante e após a execução da obra;</w:t>
      </w:r>
    </w:p>
    <w:p w14:paraId="366B203B">
      <w:pPr>
        <w:pStyle w:val="19"/>
        <w:numPr>
          <w:ilvl w:val="0"/>
          <w:numId w:val="5"/>
        </w:numPr>
        <w:jc w:val="both"/>
        <w:rPr>
          <w:rFonts w:ascii="Times New Roman" w:hAnsi="Times New Roman"/>
        </w:rPr>
      </w:pPr>
      <w:r>
        <w:rPr>
          <w:rFonts w:ascii="Times New Roman" w:hAnsi="Times New Roman"/>
        </w:rPr>
        <w:t>Projeto As Built: Ao término da execução da obra, a contratada deverá, obrigatoriamente, apresentar todos os projetos executivos devidamente atualizados no formato “as built”, refletindo as alterações realizadas durante a execução.</w:t>
      </w:r>
    </w:p>
    <w:p w14:paraId="393D1A1D">
      <w:pPr>
        <w:pStyle w:val="19"/>
        <w:numPr>
          <w:ilvl w:val="0"/>
          <w:numId w:val="0"/>
        </w:numPr>
        <w:ind w:left="360" w:leftChars="0"/>
        <w:jc w:val="both"/>
        <w:rPr>
          <w:rFonts w:ascii="Times New Roman" w:hAnsi="Times New Roman"/>
        </w:rPr>
      </w:pPr>
      <w:r>
        <w:rPr>
          <w:rFonts w:ascii="Times New Roman" w:hAnsi="Times New Roman"/>
        </w:rPr>
        <w:t>A entrega deverá ocorrer em formato físico (papel) e digital (DWG e PDF), devidamente assinados pelo responsável técnico habilitado, compondo o Databook da obra.</w:t>
      </w:r>
    </w:p>
    <w:p w14:paraId="1268A764">
      <w:pPr>
        <w:pStyle w:val="19"/>
        <w:numPr>
          <w:ilvl w:val="0"/>
          <w:numId w:val="0"/>
        </w:numPr>
        <w:ind w:left="360" w:leftChars="0"/>
        <w:jc w:val="both"/>
        <w:rPr>
          <w:rFonts w:ascii="Times New Roman" w:hAnsi="Times New Roman"/>
        </w:rPr>
      </w:pPr>
      <w:r>
        <w:rPr>
          <w:rFonts w:ascii="Times New Roman" w:hAnsi="Times New Roman"/>
        </w:rPr>
        <w:t>Deverão estar incluídos, no mínimo, os seguintes projetos e instalações:</w:t>
      </w:r>
    </w:p>
    <w:p w14:paraId="2F7234C3">
      <w:pPr>
        <w:pStyle w:val="19"/>
        <w:numPr>
          <w:ilvl w:val="0"/>
          <w:numId w:val="0"/>
        </w:numPr>
        <w:ind w:left="360" w:leftChars="0"/>
        <w:jc w:val="both"/>
        <w:rPr>
          <w:rFonts w:ascii="Times New Roman" w:hAnsi="Times New Roman"/>
        </w:rPr>
      </w:pPr>
      <w:r>
        <w:rPr>
          <w:rFonts w:ascii="Times New Roman" w:hAnsi="Times New Roman"/>
        </w:rPr>
        <w:t>Arquitetura/Edificação;</w:t>
      </w:r>
    </w:p>
    <w:p w14:paraId="463F6B7D">
      <w:pPr>
        <w:pStyle w:val="19"/>
        <w:numPr>
          <w:ilvl w:val="0"/>
          <w:numId w:val="0"/>
        </w:numPr>
        <w:ind w:left="360" w:leftChars="0"/>
        <w:jc w:val="both"/>
        <w:rPr>
          <w:rFonts w:ascii="Times New Roman" w:hAnsi="Times New Roman"/>
        </w:rPr>
      </w:pPr>
      <w:r>
        <w:rPr>
          <w:rFonts w:ascii="Times New Roman" w:hAnsi="Times New Roman"/>
        </w:rPr>
        <w:t>Estrutura;</w:t>
      </w:r>
    </w:p>
    <w:p w14:paraId="0EA37E2B">
      <w:pPr>
        <w:pStyle w:val="19"/>
        <w:numPr>
          <w:ilvl w:val="0"/>
          <w:numId w:val="0"/>
        </w:numPr>
        <w:ind w:left="360" w:leftChars="0"/>
        <w:jc w:val="both"/>
        <w:rPr>
          <w:rFonts w:ascii="Times New Roman" w:hAnsi="Times New Roman"/>
        </w:rPr>
      </w:pPr>
      <w:r>
        <w:rPr>
          <w:rFonts w:ascii="Times New Roman" w:hAnsi="Times New Roman"/>
        </w:rPr>
        <w:t>Instalações hidrossanitárias (abastecimento de água, esgoto sanitário e drenagem pluvial);</w:t>
      </w:r>
    </w:p>
    <w:p w14:paraId="6F9B4FEF">
      <w:pPr>
        <w:pStyle w:val="19"/>
        <w:numPr>
          <w:ilvl w:val="0"/>
          <w:numId w:val="0"/>
        </w:numPr>
        <w:ind w:left="360" w:leftChars="0"/>
        <w:jc w:val="both"/>
        <w:rPr>
          <w:rFonts w:hint="default" w:ascii="Times New Roman" w:hAnsi="Times New Roman"/>
          <w:lang w:val="pt-BR"/>
        </w:rPr>
      </w:pPr>
      <w:r>
        <w:rPr>
          <w:rFonts w:ascii="Times New Roman" w:hAnsi="Times New Roman"/>
        </w:rPr>
        <w:t>Instalações elétricas</w:t>
      </w:r>
      <w:r>
        <w:rPr>
          <w:rFonts w:hint="default" w:ascii="Times New Roman" w:hAnsi="Times New Roman"/>
          <w:lang w:val="pt-BR"/>
        </w:rPr>
        <w:t>;</w:t>
      </w:r>
    </w:p>
    <w:p w14:paraId="3151E7D6">
      <w:pPr>
        <w:pStyle w:val="19"/>
        <w:numPr>
          <w:ilvl w:val="0"/>
          <w:numId w:val="0"/>
        </w:numPr>
        <w:ind w:left="360" w:leftChars="0"/>
        <w:jc w:val="both"/>
        <w:rPr>
          <w:rFonts w:ascii="Times New Roman" w:hAnsi="Times New Roman"/>
        </w:rPr>
      </w:pPr>
      <w:r>
        <w:rPr>
          <w:rFonts w:ascii="Times New Roman" w:hAnsi="Times New Roman"/>
        </w:rPr>
        <w:t>Sistema de Proteção contra Descargas Atmosféricas (SPDA);</w:t>
      </w:r>
    </w:p>
    <w:p w14:paraId="4212B949">
      <w:pPr>
        <w:pStyle w:val="19"/>
        <w:numPr>
          <w:ilvl w:val="0"/>
          <w:numId w:val="0"/>
        </w:numPr>
        <w:ind w:left="360" w:leftChars="0"/>
        <w:jc w:val="both"/>
        <w:rPr>
          <w:rFonts w:ascii="Times New Roman" w:hAnsi="Times New Roman"/>
        </w:rPr>
      </w:pPr>
      <w:r>
        <w:rPr>
          <w:rFonts w:ascii="Times New Roman" w:hAnsi="Times New Roman"/>
        </w:rPr>
        <w:t>Instalações de prevenção e combate a incêndio.</w:t>
      </w:r>
    </w:p>
    <w:p w14:paraId="18CC7908">
      <w:pPr>
        <w:pStyle w:val="19"/>
        <w:numPr>
          <w:ilvl w:val="0"/>
          <w:numId w:val="5"/>
        </w:numPr>
        <w:jc w:val="both"/>
        <w:rPr>
          <w:rFonts w:ascii="Times New Roman" w:hAnsi="Times New Roman"/>
        </w:rPr>
      </w:pPr>
      <w:r>
        <w:rPr>
          <w:rFonts w:ascii="Times New Roman" w:hAnsi="Times New Roman"/>
        </w:rPr>
        <w:t>Notas Fiscais: comprovação de aquisição de tubos, registros e serviços realizados por empreiteiras;</w:t>
      </w:r>
    </w:p>
    <w:p w14:paraId="774BE3FF">
      <w:pPr>
        <w:pStyle w:val="19"/>
        <w:numPr>
          <w:ilvl w:val="0"/>
          <w:numId w:val="5"/>
        </w:numPr>
        <w:jc w:val="both"/>
        <w:rPr>
          <w:rFonts w:ascii="Times New Roman" w:hAnsi="Times New Roman"/>
        </w:rPr>
      </w:pPr>
      <w:r>
        <w:rPr>
          <w:rFonts w:ascii="Times New Roman" w:hAnsi="Times New Roman"/>
        </w:rPr>
        <w:t>Licenças: cópias das licenças e autorizações obtidas junto aos órgãos competentes.</w:t>
      </w:r>
    </w:p>
    <w:p w14:paraId="63ED330B">
      <w:pPr>
        <w:pStyle w:val="19"/>
        <w:numPr>
          <w:ilvl w:val="0"/>
          <w:numId w:val="5"/>
        </w:numPr>
        <w:jc w:val="both"/>
        <w:rPr>
          <w:rFonts w:ascii="Times New Roman" w:hAnsi="Times New Roman"/>
        </w:rPr>
      </w:pPr>
      <w:r>
        <w:rPr>
          <w:rFonts w:ascii="Times New Roman" w:hAnsi="Times New Roman"/>
        </w:rPr>
        <w:t>A entrega dessa documentação é condição indispensável para a aprovação final e liberação do Termo de Aceite.</w:t>
      </w:r>
    </w:p>
    <w:p w14:paraId="75AFC45B">
      <w:pPr>
        <w:pStyle w:val="19"/>
        <w:numPr>
          <w:ilvl w:val="0"/>
          <w:numId w:val="0"/>
        </w:numPr>
        <w:jc w:val="both"/>
        <w:rPr>
          <w:rFonts w:ascii="Times New Roman" w:hAnsi="Times New Roman"/>
        </w:rPr>
      </w:pPr>
    </w:p>
    <w:p w14:paraId="01C18931">
      <w:pPr>
        <w:pStyle w:val="31"/>
        <w:numPr>
          <w:ilvl w:val="0"/>
          <w:numId w:val="0"/>
        </w:numPr>
        <w:ind w:firstLine="705"/>
        <w:rPr>
          <w:rFonts w:ascii="Times New Roman" w:hAnsi="Times New Roman" w:cs="Times New Roman"/>
          <w:i w:val="0"/>
          <w:iCs w:val="0"/>
          <w:color w:val="auto"/>
          <w:sz w:val="22"/>
          <w:szCs w:val="22"/>
        </w:rPr>
      </w:pPr>
      <w:r>
        <w:rPr>
          <w:rFonts w:ascii="Times New Roman" w:hAnsi="Times New Roman" w:cs="Times New Roman"/>
          <w:i w:val="0"/>
          <w:iCs w:val="0"/>
          <w:color w:val="auto"/>
          <w:sz w:val="22"/>
          <w:szCs w:val="22"/>
        </w:rPr>
        <w:t>2.</w:t>
      </w:r>
      <w:r>
        <w:rPr>
          <w:rFonts w:hint="default" w:ascii="Times New Roman" w:hAnsi="Times New Roman" w:cs="Times New Roman"/>
          <w:i w:val="0"/>
          <w:iCs w:val="0"/>
          <w:color w:val="auto"/>
          <w:sz w:val="22"/>
          <w:szCs w:val="22"/>
          <w:lang w:val="pt-BR"/>
        </w:rPr>
        <w:t>6</w:t>
      </w:r>
      <w:r>
        <w:rPr>
          <w:rFonts w:ascii="Times New Roman" w:hAnsi="Times New Roman" w:cs="Times New Roman"/>
          <w:i w:val="0"/>
          <w:iCs w:val="0"/>
          <w:color w:val="auto"/>
          <w:sz w:val="22"/>
          <w:szCs w:val="22"/>
        </w:rPr>
        <w:t xml:space="preserve"> – Informações relevantes para o dimensionamento da proposta.</w:t>
      </w:r>
    </w:p>
    <w:p w14:paraId="6475B23B">
      <w:pPr>
        <w:pStyle w:val="31"/>
        <w:numPr>
          <w:ilvl w:val="0"/>
          <w:numId w:val="0"/>
        </w:numPr>
        <w:ind w:firstLine="705"/>
        <w:rPr>
          <w:rFonts w:ascii="Times New Roman" w:hAnsi="Times New Roman" w:cs="Times New Roman"/>
          <w:i w:val="0"/>
          <w:iCs w:val="0"/>
          <w:color w:val="auto"/>
          <w:sz w:val="22"/>
          <w:szCs w:val="22"/>
        </w:rPr>
      </w:pPr>
      <w:r>
        <w:rPr>
          <w:rFonts w:ascii="Times New Roman" w:hAnsi="Times New Roman" w:cs="Times New Roman"/>
          <w:i w:val="0"/>
          <w:iCs w:val="0"/>
          <w:color w:val="auto"/>
          <w:sz w:val="22"/>
          <w:szCs w:val="22"/>
        </w:rPr>
        <w:t>A proposta deverá ser elaborada considerando o escopo completo dos serviços, bem como os quantitativos estimados, os prazos estabelecidos, as exigências de qualidade, os critérios técnicos definidos e as condições de execução no local. É fundamental que a proponente leve em conta todas as especificações constantes neste Termo de Referência e nos anexos técnicos, incluindo as restrições de acesso, disponibilidade de infraestrutura, e demais informações relevantes ao planejamento e precificação adequada da execução contratual.</w:t>
      </w:r>
    </w:p>
    <w:p w14:paraId="24D7F0B4">
      <w:pPr>
        <w:pStyle w:val="19"/>
        <w:numPr>
          <w:ilvl w:val="0"/>
          <w:numId w:val="0"/>
        </w:numPr>
        <w:jc w:val="both"/>
        <w:rPr>
          <w:rFonts w:ascii="Times New Roman" w:hAnsi="Times New Roman"/>
        </w:rPr>
      </w:pPr>
    </w:p>
    <w:p w14:paraId="165DBF35">
      <w:pPr>
        <w:ind w:firstLine="708"/>
        <w:jc w:val="both"/>
        <w:rPr>
          <w:bCs/>
          <w:sz w:val="22"/>
          <w:szCs w:val="22"/>
        </w:rPr>
      </w:pPr>
    </w:p>
    <w:p w14:paraId="3A987A97">
      <w:pPr>
        <w:jc w:val="both"/>
        <w:rPr>
          <w:b/>
          <w:bCs/>
          <w:sz w:val="22"/>
          <w:szCs w:val="22"/>
        </w:rPr>
      </w:pPr>
      <w:r>
        <w:rPr>
          <w:b/>
          <w:bCs/>
          <w:sz w:val="22"/>
          <w:szCs w:val="22"/>
        </w:rPr>
        <w:t>3. CLASSIFICAÇÃO DO OBJETO:</w:t>
      </w:r>
    </w:p>
    <w:p w14:paraId="06A3CA27">
      <w:pPr>
        <w:jc w:val="both"/>
        <w:rPr>
          <w:b/>
          <w:bCs/>
          <w:sz w:val="22"/>
          <w:szCs w:val="22"/>
        </w:rPr>
      </w:pPr>
    </w:p>
    <w:p w14:paraId="24204B8A">
      <w:pPr>
        <w:ind w:firstLine="708"/>
        <w:jc w:val="both"/>
        <w:rPr>
          <w:sz w:val="22"/>
          <w:szCs w:val="22"/>
        </w:rPr>
      </w:pPr>
      <w:r>
        <w:rPr>
          <w:bCs/>
          <w:sz w:val="22"/>
          <w:szCs w:val="22"/>
        </w:rPr>
        <w:t>3.1 -</w:t>
      </w:r>
      <w:r>
        <w:rPr>
          <w:rFonts w:hint="default"/>
          <w:bCs/>
          <w:sz w:val="22"/>
          <w:szCs w:val="22"/>
          <w:lang w:val="pt-BR"/>
        </w:rPr>
        <w:t xml:space="preserve"> </w:t>
      </w:r>
      <w:r>
        <w:rPr>
          <w:sz w:val="22"/>
          <w:szCs w:val="22"/>
        </w:rPr>
        <w:t xml:space="preserve">O objeto da presente contratação consiste na execução de </w:t>
      </w:r>
      <w:r>
        <w:rPr>
          <w:rFonts w:hint="default"/>
          <w:sz w:val="22"/>
          <w:szCs w:val="22"/>
          <w:lang w:val="pt-BR"/>
        </w:rPr>
        <w:t>obra</w:t>
      </w:r>
      <w:r>
        <w:rPr>
          <w:sz w:val="22"/>
          <w:szCs w:val="22"/>
        </w:rPr>
        <w:t xml:space="preserve"> de engenharia, nos termos do art. 6º, inciso XXII, da Lei nº 14.133/2021, envolvendo a realização</w:t>
      </w:r>
      <w:r>
        <w:rPr>
          <w:rFonts w:hint="default"/>
          <w:sz w:val="22"/>
          <w:szCs w:val="22"/>
          <w:lang w:val="pt-BR"/>
        </w:rPr>
        <w:t xml:space="preserve"> </w:t>
      </w:r>
      <w:r>
        <w:rPr>
          <w:sz w:val="22"/>
          <w:szCs w:val="22"/>
        </w:rPr>
        <w:t>de construção de unidade educacional padrão FNDE, conforme projetos, memoriais e planilhas que compõem este TR.</w:t>
      </w:r>
    </w:p>
    <w:p w14:paraId="5B35EB51">
      <w:pPr>
        <w:ind w:firstLine="708"/>
        <w:jc w:val="both"/>
        <w:rPr>
          <w:sz w:val="22"/>
          <w:szCs w:val="22"/>
        </w:rPr>
      </w:pPr>
      <w:r>
        <w:rPr>
          <w:sz w:val="22"/>
          <w:szCs w:val="22"/>
        </w:rPr>
        <w:t xml:space="preserve">Ressalta-se que se trata de </w:t>
      </w:r>
      <w:r>
        <w:rPr>
          <w:rFonts w:hint="default"/>
          <w:sz w:val="22"/>
          <w:szCs w:val="22"/>
          <w:lang w:val="pt-BR"/>
        </w:rPr>
        <w:t>obra especial de engenharia</w:t>
      </w:r>
      <w:r>
        <w:rPr>
          <w:sz w:val="22"/>
          <w:szCs w:val="22"/>
        </w:rPr>
        <w:t xml:space="preserve"> nos termos do art. 6º, inciso XXI, da referida Lei, em razão das especificidades técnicas e do grau de conhecimento necessário à sua adequada execução.</w:t>
      </w:r>
    </w:p>
    <w:p w14:paraId="1CCA3889">
      <w:pPr>
        <w:jc w:val="both"/>
        <w:rPr>
          <w:b/>
          <w:bCs/>
          <w:sz w:val="22"/>
          <w:szCs w:val="22"/>
        </w:rPr>
      </w:pPr>
      <w:r>
        <w:rPr>
          <w:b/>
          <w:bCs/>
          <w:sz w:val="22"/>
          <w:szCs w:val="22"/>
        </w:rPr>
        <w:tab/>
      </w:r>
      <w:r>
        <w:rPr>
          <w:b/>
          <w:bCs/>
          <w:sz w:val="22"/>
          <w:szCs w:val="22"/>
        </w:rPr>
        <w:tab/>
      </w:r>
    </w:p>
    <w:p w14:paraId="5142E59D">
      <w:pPr>
        <w:jc w:val="both"/>
        <w:rPr>
          <w:b/>
          <w:bCs/>
          <w:sz w:val="22"/>
          <w:szCs w:val="22"/>
        </w:rPr>
      </w:pPr>
    </w:p>
    <w:p w14:paraId="4E098EE7">
      <w:pPr>
        <w:jc w:val="both"/>
        <w:rPr>
          <w:b/>
          <w:sz w:val="22"/>
          <w:szCs w:val="22"/>
        </w:rPr>
      </w:pPr>
      <w:r>
        <w:rPr>
          <w:b/>
          <w:sz w:val="22"/>
          <w:szCs w:val="22"/>
        </w:rPr>
        <w:t xml:space="preserve">4. FUNDAMENTAÇÃO E DESCRIÇÃO DA NECESSIDADE DA CONTRATAÇÃO: </w:t>
      </w:r>
    </w:p>
    <w:p w14:paraId="5FBC1A7E">
      <w:pPr>
        <w:jc w:val="both"/>
        <w:rPr>
          <w:b/>
          <w:sz w:val="22"/>
          <w:szCs w:val="22"/>
        </w:rPr>
      </w:pPr>
    </w:p>
    <w:p w14:paraId="05DAF612">
      <w:pPr>
        <w:ind w:firstLine="708"/>
        <w:jc w:val="both"/>
        <w:rPr>
          <w:rFonts w:hint="default" w:ascii="Arial" w:hAnsi="Arial" w:cs="Arial"/>
          <w:sz w:val="20"/>
          <w:lang w:val="pt-BR"/>
        </w:rPr>
      </w:pPr>
      <w:r>
        <w:rPr>
          <w:bCs/>
          <w:sz w:val="22"/>
          <w:szCs w:val="22"/>
        </w:rPr>
        <w:t xml:space="preserve">4.1 - </w:t>
      </w:r>
      <w:r>
        <w:rPr>
          <w:rFonts w:ascii="Times New Roman" w:hAnsi="Times New Roman" w:eastAsia="Times New Roman" w:cs="Times New Roman"/>
          <w:sz w:val="22"/>
          <w:szCs w:val="22"/>
        </w:rPr>
        <w:t>Com base no estudo feito no ETP</w:t>
      </w:r>
      <w:r>
        <w:rPr>
          <w:rFonts w:hint="default" w:ascii="Times New Roman" w:hAnsi="Times New Roman" w:eastAsia="Times New Roman" w:cs="Times New Roman"/>
          <w:sz w:val="22"/>
          <w:szCs w:val="22"/>
          <w:lang w:val="pt-BR"/>
        </w:rPr>
        <w:t xml:space="preserve">, a </w:t>
      </w:r>
      <w:r>
        <w:rPr>
          <w:rFonts w:ascii="Times New Roman" w:hAnsi="Times New Roman" w:eastAsia="Times New Roman" w:cs="Times New Roman"/>
          <w:sz w:val="22"/>
          <w:szCs w:val="22"/>
        </w:rPr>
        <w:t xml:space="preserve">necessidade para este Estudo Técnico Preliminar decorre da crescente demanda por vagas </w:t>
      </w:r>
      <w:r>
        <w:rPr>
          <w:rFonts w:hint="default" w:ascii="Times New Roman" w:hAnsi="Times New Roman" w:eastAsia="Times New Roman" w:cs="Times New Roman"/>
          <w:sz w:val="22"/>
          <w:szCs w:val="22"/>
          <w:lang w:val="pt-BR"/>
        </w:rPr>
        <w:t xml:space="preserve"> em </w:t>
      </w:r>
      <w:r>
        <w:rPr>
          <w:rFonts w:hint="default" w:cs="Times New Roman"/>
          <w:sz w:val="22"/>
          <w:szCs w:val="22"/>
          <w:lang w:val="pt-BR"/>
        </w:rPr>
        <w:t>C</w:t>
      </w:r>
      <w:r>
        <w:rPr>
          <w:rFonts w:hint="default" w:ascii="Times New Roman" w:hAnsi="Times New Roman" w:eastAsia="Times New Roman" w:cs="Times New Roman"/>
          <w:sz w:val="22"/>
          <w:szCs w:val="22"/>
          <w:lang w:val="pt-BR"/>
        </w:rPr>
        <w:t xml:space="preserve">reche </w:t>
      </w:r>
      <w:r>
        <w:rPr>
          <w:rFonts w:hint="default" w:cs="Times New Roman"/>
          <w:sz w:val="22"/>
          <w:szCs w:val="22"/>
          <w:lang w:val="pt-BR"/>
        </w:rPr>
        <w:t>P</w:t>
      </w:r>
      <w:r>
        <w:rPr>
          <w:rFonts w:hint="default" w:ascii="Times New Roman" w:hAnsi="Times New Roman" w:eastAsia="Times New Roman" w:cs="Times New Roman"/>
          <w:sz w:val="22"/>
          <w:szCs w:val="22"/>
          <w:lang w:val="pt-BR"/>
        </w:rPr>
        <w:t>ré-</w:t>
      </w:r>
      <w:r>
        <w:rPr>
          <w:rFonts w:hint="default" w:cs="Times New Roman"/>
          <w:sz w:val="22"/>
          <w:szCs w:val="22"/>
          <w:lang w:val="pt-BR"/>
        </w:rPr>
        <w:t>E</w:t>
      </w:r>
      <w:r>
        <w:rPr>
          <w:rFonts w:hint="default" w:ascii="Times New Roman" w:hAnsi="Times New Roman" w:eastAsia="Times New Roman" w:cs="Times New Roman"/>
          <w:sz w:val="22"/>
          <w:szCs w:val="22"/>
          <w:lang w:val="pt-BR"/>
        </w:rPr>
        <w:t>scola</w:t>
      </w:r>
      <w:r>
        <w:rPr>
          <w:rFonts w:ascii="Times New Roman" w:hAnsi="Times New Roman" w:eastAsia="Times New Roman" w:cs="Times New Roman"/>
          <w:sz w:val="22"/>
          <w:szCs w:val="22"/>
        </w:rPr>
        <w:t xml:space="preserve"> no </w:t>
      </w:r>
      <w:r>
        <w:rPr>
          <w:rFonts w:hint="default" w:cs="Times New Roman"/>
          <w:sz w:val="22"/>
          <w:szCs w:val="22"/>
          <w:lang w:val="pt-BR"/>
        </w:rPr>
        <w:t>M</w:t>
      </w:r>
      <w:r>
        <w:rPr>
          <w:rFonts w:ascii="Times New Roman" w:hAnsi="Times New Roman" w:eastAsia="Times New Roman" w:cs="Times New Roman"/>
          <w:sz w:val="22"/>
          <w:szCs w:val="22"/>
        </w:rPr>
        <w:t>unicípio de Cachoeiras de Macacu, especialmente n</w:t>
      </w:r>
      <w:r>
        <w:rPr>
          <w:rFonts w:hint="default" w:cs="Times New Roman"/>
          <w:sz w:val="22"/>
          <w:szCs w:val="22"/>
          <w:lang w:val="pt-BR"/>
        </w:rPr>
        <w:t>a</w:t>
      </w:r>
      <w:r>
        <w:rPr>
          <w:rFonts w:ascii="Times New Roman" w:hAnsi="Times New Roman" w:eastAsia="Times New Roman" w:cs="Times New Roman"/>
          <w:sz w:val="22"/>
          <w:szCs w:val="22"/>
        </w:rPr>
        <w:t xml:space="preserve"> </w:t>
      </w:r>
      <w:r>
        <w:rPr>
          <w:rFonts w:hint="default" w:ascii="Times New Roman" w:hAnsi="Times New Roman" w:eastAsia="SimSun" w:cs="Times New Roman"/>
          <w:kern w:val="0"/>
          <w:sz w:val="22"/>
          <w:szCs w:val="22"/>
          <w:lang w:val="en-US" w:eastAsia="zh-CN" w:bidi="ar"/>
          <w14:ligatures w14:val="none"/>
        </w:rPr>
        <w:t>Rua Ubaldo José da Rocha S/N, Papucaia, Cachoeiras de Macacu/RJ CEP: 28691-263</w:t>
      </w:r>
      <w:r>
        <w:rPr>
          <w:rFonts w:hint="default" w:ascii="Times New Roman" w:hAnsi="Times New Roman" w:eastAsia="Times New Roman" w:cs="Times New Roman"/>
          <w:sz w:val="22"/>
          <w:szCs w:val="22"/>
          <w:lang w:val="pt-BR"/>
        </w:rPr>
        <w:t>,</w:t>
      </w:r>
      <w:r>
        <w:rPr>
          <w:rFonts w:ascii="Times New Roman" w:hAnsi="Times New Roman" w:eastAsia="Times New Roman" w:cs="Times New Roman"/>
          <w:sz w:val="22"/>
          <w:szCs w:val="22"/>
        </w:rPr>
        <w:t xml:space="preserve"> onde a população tem aumentado significativamente. Atualmente, a região carece de infraestrutura adequada para o atendimento do </w:t>
      </w:r>
      <w:r>
        <w:rPr>
          <w:rFonts w:hint="default" w:ascii="Times New Roman" w:hAnsi="Times New Roman" w:eastAsia="Times New Roman" w:cs="Times New Roman"/>
          <w:sz w:val="22"/>
          <w:szCs w:val="22"/>
          <w:lang w:val="pt-BR"/>
        </w:rPr>
        <w:t>ensino infantil</w:t>
      </w:r>
      <w:r>
        <w:rPr>
          <w:rFonts w:ascii="Times New Roman" w:hAnsi="Times New Roman" w:eastAsia="Times New Roman" w:cs="Times New Roman"/>
          <w:sz w:val="22"/>
          <w:szCs w:val="22"/>
        </w:rPr>
        <w:t>, o que gera deslocamentos longos e dificuldades para os estudantes e suas famílias. A construção d</w:t>
      </w:r>
      <w:r>
        <w:rPr>
          <w:rFonts w:hint="default" w:ascii="Times New Roman" w:hAnsi="Times New Roman" w:eastAsia="Times New Roman" w:cs="Times New Roman"/>
          <w:sz w:val="22"/>
          <w:szCs w:val="22"/>
          <w:lang w:val="pt-BR"/>
        </w:rPr>
        <w:t>o centro de educação infantil</w:t>
      </w:r>
      <w:r>
        <w:rPr>
          <w:rFonts w:ascii="Times New Roman" w:hAnsi="Times New Roman" w:eastAsia="Times New Roman" w:cs="Times New Roman"/>
          <w:sz w:val="22"/>
          <w:szCs w:val="22"/>
        </w:rPr>
        <w:t xml:space="preserve"> visa suprir essa carência histórica, proporcionando um ambiente moderno, acessível e sustentável, conforme as normas do FNDE, atend</w:t>
      </w:r>
      <w:r>
        <w:rPr>
          <w:rFonts w:hint="default" w:ascii="Times New Roman" w:hAnsi="Times New Roman" w:eastAsia="Times New Roman" w:cs="Times New Roman"/>
          <w:sz w:val="22"/>
          <w:szCs w:val="22"/>
          <w:lang w:val="pt-BR"/>
        </w:rPr>
        <w:t>endo os</w:t>
      </w:r>
      <w:r>
        <w:rPr>
          <w:rFonts w:ascii="Times New Roman" w:hAnsi="Times New Roman" w:eastAsia="Times New Roman" w:cs="Times New Roman"/>
          <w:sz w:val="22"/>
          <w:szCs w:val="22"/>
        </w:rPr>
        <w:t xml:space="preserve"> alunos com salas de aula, biblioteca, laboratórios e áreas de convivência. Essa ação é fundamental para garantir a universalização do ensino, melhorar a qualidade da educação e promover o desenvolvimento social local, alinhando-se ao compromisso da Administração Pública com a educação e o futuro das crianças da comunidade</w:t>
      </w:r>
      <w:r>
        <w:rPr>
          <w:rFonts w:hint="default" w:ascii="Times New Roman" w:hAnsi="Times New Roman" w:eastAsia="Times New Roman" w:cs="Times New Roman"/>
          <w:sz w:val="22"/>
          <w:szCs w:val="22"/>
          <w:lang w:val="pt-BR"/>
        </w:rPr>
        <w:t>.</w:t>
      </w:r>
    </w:p>
    <w:p w14:paraId="1F23E59C">
      <w:pPr>
        <w:jc w:val="both"/>
        <w:rPr>
          <w:bCs/>
          <w:sz w:val="22"/>
          <w:szCs w:val="22"/>
        </w:rPr>
      </w:pPr>
      <w:bookmarkStart w:id="10" w:name="_GoBack"/>
      <w:bookmarkEnd w:id="10"/>
    </w:p>
    <w:p w14:paraId="3F2C52DC">
      <w:pPr>
        <w:jc w:val="both"/>
        <w:rPr>
          <w:b/>
          <w:sz w:val="22"/>
          <w:szCs w:val="22"/>
        </w:rPr>
      </w:pPr>
    </w:p>
    <w:p w14:paraId="22739CD0">
      <w:pPr>
        <w:jc w:val="both"/>
        <w:rPr>
          <w:b/>
          <w:sz w:val="22"/>
          <w:szCs w:val="22"/>
        </w:rPr>
      </w:pPr>
      <w:r>
        <w:rPr>
          <w:b/>
          <w:sz w:val="22"/>
          <w:szCs w:val="22"/>
        </w:rPr>
        <w:t>5. DESCRIÇÃO DA SOLUÇÃO COMO UM TODO, CONSIDERANDO O CICLO DE VIDA DO OBJETO E ESPECIFICAÇÃO DO PRODUTO:</w:t>
      </w:r>
    </w:p>
    <w:p w14:paraId="485397B3">
      <w:pPr>
        <w:jc w:val="both"/>
        <w:rPr>
          <w:b/>
          <w:sz w:val="22"/>
          <w:szCs w:val="22"/>
        </w:rPr>
      </w:pPr>
    </w:p>
    <w:p w14:paraId="6FF31BB5">
      <w:pPr>
        <w:ind w:firstLine="708"/>
        <w:jc w:val="both"/>
        <w:rPr>
          <w:rFonts w:hint="default"/>
          <w:bCs/>
          <w:sz w:val="22"/>
          <w:szCs w:val="22"/>
        </w:rPr>
      </w:pPr>
      <w:r>
        <w:rPr>
          <w:rFonts w:hint="default"/>
          <w:bCs/>
          <w:sz w:val="22"/>
          <w:szCs w:val="22"/>
        </w:rPr>
        <w:t>A presente contratação tem por objetivo a execução integral de obra de engenharia para a construção de uma Creche Pré-Escola Tipo 1, conforme projeto padrão estabelecido pelo FNDE (Fundo Nacional de Desenvolvimento da Educação), a ser implantada na Rua Ubaldo José da Rocha S/N, Papucaia, Cachoeiras de Macacu/RJ CEP: 28691-263, como parte da política pública de ampliação e qualificação da infraestrutura da educação infantil no país.</w:t>
      </w:r>
    </w:p>
    <w:p w14:paraId="55073037">
      <w:pPr>
        <w:ind w:firstLine="708"/>
        <w:jc w:val="both"/>
        <w:rPr>
          <w:rFonts w:hint="default"/>
          <w:bCs/>
          <w:sz w:val="22"/>
          <w:szCs w:val="22"/>
        </w:rPr>
      </w:pPr>
    </w:p>
    <w:p w14:paraId="6F30A892">
      <w:pPr>
        <w:ind w:firstLine="708"/>
        <w:jc w:val="both"/>
        <w:rPr>
          <w:rFonts w:hint="default"/>
          <w:bCs/>
          <w:sz w:val="22"/>
          <w:szCs w:val="22"/>
        </w:rPr>
      </w:pPr>
      <w:r>
        <w:rPr>
          <w:rFonts w:hint="default"/>
          <w:bCs/>
          <w:sz w:val="22"/>
          <w:szCs w:val="22"/>
        </w:rPr>
        <w:t xml:space="preserve">A solução técnica adotada, descrita em detalhes no Memorial Descritivo </w:t>
      </w:r>
      <w:r>
        <w:rPr>
          <w:rFonts w:hint="default"/>
          <w:bCs/>
          <w:sz w:val="22"/>
          <w:szCs w:val="22"/>
          <w:lang w:val="pt-BR"/>
        </w:rPr>
        <w:t>em anexo</w:t>
      </w:r>
      <w:r>
        <w:rPr>
          <w:rFonts w:hint="default"/>
          <w:bCs/>
          <w:sz w:val="22"/>
          <w:szCs w:val="22"/>
        </w:rPr>
        <w:t xml:space="preserve">, que é parte integrante deste Termo de Referência, contempla uma </w:t>
      </w:r>
      <w:r>
        <w:rPr>
          <w:rFonts w:hint="default"/>
          <w:bCs/>
          <w:sz w:val="22"/>
          <w:szCs w:val="22"/>
          <w:lang w:val="pt-BR"/>
        </w:rPr>
        <w:t xml:space="preserve">creche </w:t>
      </w:r>
      <w:r>
        <w:rPr>
          <w:rFonts w:hint="default"/>
          <w:bCs/>
          <w:sz w:val="22"/>
          <w:szCs w:val="22"/>
        </w:rPr>
        <w:t>térrea, com área construída de 1.324,27 m², distribuída em dois blocos interligados, com ambientes internos e externos pensados para o desenvolvimento integral de crianças de 0 a 5 anos e 11 meses, em conformidade com os parâmetros pedagógicos, de acessibilidade, conforto térmico e segurança. A capacidade total é de 376 crianças em dois turnos ou 188 em tempo integral.</w:t>
      </w:r>
    </w:p>
    <w:p w14:paraId="3043567E">
      <w:pPr>
        <w:ind w:firstLine="708"/>
        <w:jc w:val="both"/>
        <w:rPr>
          <w:rFonts w:hint="default"/>
          <w:bCs/>
          <w:sz w:val="22"/>
          <w:szCs w:val="22"/>
        </w:rPr>
      </w:pPr>
    </w:p>
    <w:p w14:paraId="327DB352">
      <w:pPr>
        <w:ind w:firstLine="708"/>
        <w:jc w:val="both"/>
        <w:rPr>
          <w:rFonts w:hint="default"/>
          <w:bCs/>
          <w:sz w:val="22"/>
          <w:szCs w:val="22"/>
        </w:rPr>
      </w:pPr>
      <w:r>
        <w:rPr>
          <w:rFonts w:hint="default"/>
          <w:bCs/>
          <w:sz w:val="22"/>
          <w:szCs w:val="22"/>
        </w:rPr>
        <w:t>A edificação está devidamente adaptada às condições do terreno, considerando a presença de adutora e as exigências legais de afastamento, além de já possuir viabilidade técnica para abastecimento de água e esgotamento sanitário, conforme a Declaração de Possibilidade de Abastecimento e Esgotamento Sanitário (DPA/DPE nº 421/2024) emitida pela concessionária Águas do Rio, de acordo com anexo em processo.</w:t>
      </w:r>
    </w:p>
    <w:p w14:paraId="5B3BBE7C">
      <w:pPr>
        <w:ind w:firstLine="708"/>
        <w:jc w:val="both"/>
        <w:rPr>
          <w:rFonts w:hint="default"/>
          <w:bCs/>
          <w:sz w:val="22"/>
          <w:szCs w:val="22"/>
        </w:rPr>
      </w:pPr>
    </w:p>
    <w:p w14:paraId="086A749C">
      <w:pPr>
        <w:ind w:firstLine="708"/>
        <w:jc w:val="both"/>
        <w:rPr>
          <w:rFonts w:hint="default"/>
          <w:bCs/>
          <w:sz w:val="22"/>
          <w:szCs w:val="22"/>
        </w:rPr>
      </w:pPr>
      <w:r>
        <w:rPr>
          <w:rFonts w:hint="default"/>
          <w:bCs/>
          <w:sz w:val="22"/>
          <w:szCs w:val="22"/>
        </w:rPr>
        <w:t>A edificação será implantada em terreno plano, com preparo prévio envolvendo demolição de estruturas existentes, limpeza geral e ajustes no nivelamento, respeitando os critérios de sustentabilidade, como reaproveitamento de águas pluviais, previsão para placas fotovoltaicas, pavimentos permeáveis e eficiência energética. O sistema construtivo adota estrutura mista em concreto armado e metálica, alvenaria de blocos cerâmicos, cobertura com telhas termoacústicas tipo sanduíche, e acabamentos resistentes e de fácil manutenção, tudo em estrita observância às especificações do Memorial Descritivo, seguindo as normas da ABNT e diretrizes técnicas do FNDE.</w:t>
      </w:r>
    </w:p>
    <w:p w14:paraId="250D3DC4">
      <w:pPr>
        <w:ind w:firstLine="708"/>
        <w:jc w:val="both"/>
        <w:rPr>
          <w:rFonts w:hint="default"/>
          <w:bCs/>
          <w:sz w:val="22"/>
          <w:szCs w:val="22"/>
        </w:rPr>
      </w:pPr>
    </w:p>
    <w:p w14:paraId="7571C6DB">
      <w:pPr>
        <w:ind w:firstLine="708"/>
        <w:jc w:val="both"/>
        <w:rPr>
          <w:rFonts w:hint="default"/>
          <w:bCs/>
          <w:sz w:val="22"/>
          <w:szCs w:val="22"/>
        </w:rPr>
      </w:pPr>
      <w:r>
        <w:rPr>
          <w:rFonts w:hint="default"/>
          <w:bCs/>
          <w:sz w:val="22"/>
          <w:szCs w:val="22"/>
        </w:rPr>
        <w:t>Os ambientes incluem:</w:t>
      </w:r>
    </w:p>
    <w:p w14:paraId="375FE604">
      <w:pPr>
        <w:ind w:firstLine="708"/>
        <w:jc w:val="both"/>
        <w:rPr>
          <w:rFonts w:hint="default"/>
          <w:bCs/>
          <w:sz w:val="22"/>
          <w:szCs w:val="22"/>
        </w:rPr>
      </w:pPr>
    </w:p>
    <w:p w14:paraId="1B79F80B">
      <w:pPr>
        <w:ind w:firstLine="708"/>
        <w:jc w:val="both"/>
        <w:rPr>
          <w:rFonts w:hint="default"/>
          <w:bCs/>
          <w:sz w:val="22"/>
          <w:szCs w:val="22"/>
        </w:rPr>
      </w:pPr>
      <w:r>
        <w:rPr>
          <w:rFonts w:hint="default"/>
          <w:bCs/>
          <w:sz w:val="22"/>
          <w:szCs w:val="22"/>
        </w:rPr>
        <w:t>Salas pedagógicas divididas por faixa etária (berçário, infantil 1 a 5);</w:t>
      </w:r>
    </w:p>
    <w:p w14:paraId="52A2EDFE">
      <w:pPr>
        <w:ind w:firstLine="708"/>
        <w:jc w:val="both"/>
        <w:rPr>
          <w:rFonts w:hint="default"/>
          <w:bCs/>
          <w:sz w:val="22"/>
          <w:szCs w:val="22"/>
        </w:rPr>
      </w:pPr>
    </w:p>
    <w:p w14:paraId="21191218">
      <w:pPr>
        <w:ind w:firstLine="708"/>
        <w:jc w:val="both"/>
        <w:rPr>
          <w:rFonts w:hint="default"/>
          <w:bCs/>
          <w:sz w:val="22"/>
          <w:szCs w:val="22"/>
        </w:rPr>
      </w:pPr>
      <w:r>
        <w:rPr>
          <w:rFonts w:hint="default"/>
          <w:bCs/>
          <w:sz w:val="22"/>
          <w:szCs w:val="22"/>
        </w:rPr>
        <w:t>Lactário, refeitório, cozinha completa, lavanderia, DML e vestiários;</w:t>
      </w:r>
    </w:p>
    <w:p w14:paraId="165208E3">
      <w:pPr>
        <w:ind w:firstLine="708"/>
        <w:jc w:val="both"/>
        <w:rPr>
          <w:rFonts w:hint="default"/>
          <w:bCs/>
          <w:sz w:val="22"/>
          <w:szCs w:val="22"/>
        </w:rPr>
      </w:pPr>
    </w:p>
    <w:p w14:paraId="5FB91162">
      <w:pPr>
        <w:ind w:firstLine="708"/>
        <w:jc w:val="both"/>
        <w:rPr>
          <w:rFonts w:hint="default"/>
          <w:bCs/>
          <w:sz w:val="22"/>
          <w:szCs w:val="22"/>
        </w:rPr>
      </w:pPr>
      <w:r>
        <w:rPr>
          <w:rFonts w:hint="default"/>
          <w:bCs/>
          <w:sz w:val="22"/>
          <w:szCs w:val="22"/>
        </w:rPr>
        <w:t>Administração (diretoria, secretaria, sala de professores);</w:t>
      </w:r>
    </w:p>
    <w:p w14:paraId="1580346A">
      <w:pPr>
        <w:ind w:firstLine="708"/>
        <w:jc w:val="both"/>
        <w:rPr>
          <w:rFonts w:hint="default"/>
          <w:bCs/>
          <w:sz w:val="22"/>
          <w:szCs w:val="22"/>
        </w:rPr>
      </w:pPr>
    </w:p>
    <w:p w14:paraId="55852BE0">
      <w:pPr>
        <w:ind w:firstLine="708"/>
        <w:jc w:val="both"/>
        <w:rPr>
          <w:rFonts w:hint="default"/>
          <w:bCs/>
          <w:sz w:val="22"/>
          <w:szCs w:val="22"/>
        </w:rPr>
      </w:pPr>
      <w:r>
        <w:rPr>
          <w:rFonts w:hint="default"/>
          <w:bCs/>
          <w:sz w:val="22"/>
          <w:szCs w:val="22"/>
        </w:rPr>
        <w:t>Sanitários acessíveis para adultos e crianças;</w:t>
      </w:r>
    </w:p>
    <w:p w14:paraId="3C8B139E">
      <w:pPr>
        <w:ind w:firstLine="708"/>
        <w:jc w:val="both"/>
        <w:rPr>
          <w:rFonts w:hint="default"/>
          <w:bCs/>
          <w:sz w:val="22"/>
          <w:szCs w:val="22"/>
        </w:rPr>
      </w:pPr>
    </w:p>
    <w:p w14:paraId="467DE832">
      <w:pPr>
        <w:ind w:firstLine="708"/>
        <w:jc w:val="both"/>
        <w:rPr>
          <w:rFonts w:hint="default"/>
          <w:bCs/>
          <w:sz w:val="22"/>
          <w:szCs w:val="22"/>
        </w:rPr>
      </w:pPr>
      <w:r>
        <w:rPr>
          <w:rFonts w:hint="default"/>
          <w:bCs/>
          <w:sz w:val="22"/>
          <w:szCs w:val="22"/>
        </w:rPr>
        <w:t>Sala multiuso, playground, pátio coberto e áreas de serviço (GLP, lixo, varal);</w:t>
      </w:r>
    </w:p>
    <w:p w14:paraId="39ABE90A">
      <w:pPr>
        <w:ind w:firstLine="708"/>
        <w:jc w:val="both"/>
        <w:rPr>
          <w:rFonts w:hint="default"/>
          <w:bCs/>
          <w:sz w:val="22"/>
          <w:szCs w:val="22"/>
        </w:rPr>
      </w:pPr>
    </w:p>
    <w:p w14:paraId="41A0354D">
      <w:pPr>
        <w:ind w:firstLine="708"/>
        <w:jc w:val="both"/>
        <w:rPr>
          <w:rFonts w:hint="default"/>
          <w:bCs/>
          <w:sz w:val="22"/>
          <w:szCs w:val="22"/>
        </w:rPr>
      </w:pPr>
      <w:r>
        <w:rPr>
          <w:rFonts w:hint="default"/>
          <w:bCs/>
          <w:sz w:val="22"/>
          <w:szCs w:val="22"/>
        </w:rPr>
        <w:t>Ambientes projetados com ventilação cruzada e iluminação natural.</w:t>
      </w:r>
    </w:p>
    <w:p w14:paraId="4D222FC2">
      <w:pPr>
        <w:ind w:firstLine="708"/>
        <w:jc w:val="both"/>
        <w:rPr>
          <w:rFonts w:hint="default"/>
          <w:bCs/>
          <w:sz w:val="22"/>
          <w:szCs w:val="22"/>
        </w:rPr>
      </w:pPr>
    </w:p>
    <w:p w14:paraId="30A325AE">
      <w:pPr>
        <w:ind w:firstLine="708"/>
        <w:jc w:val="both"/>
        <w:rPr>
          <w:rFonts w:hint="default"/>
          <w:bCs/>
          <w:sz w:val="22"/>
          <w:szCs w:val="22"/>
        </w:rPr>
      </w:pPr>
      <w:r>
        <w:rPr>
          <w:rFonts w:hint="default"/>
          <w:bCs/>
          <w:sz w:val="22"/>
          <w:szCs w:val="22"/>
        </w:rPr>
        <w:t>Todos os espaços seguem critérios rigorosos de acessibilidade (NBR 9050), conforto ambiental, ergonomia infantil e segurança, com soluções específicas para infraestrutura em locais sem rede pública de esgoto (fossa séptica com filtro anaeróbio), e localização estratégica em área urbana com fácil acesso.</w:t>
      </w:r>
    </w:p>
    <w:p w14:paraId="7142F25D">
      <w:pPr>
        <w:ind w:firstLine="708"/>
        <w:jc w:val="both"/>
        <w:rPr>
          <w:rFonts w:hint="default"/>
          <w:bCs/>
          <w:sz w:val="22"/>
          <w:szCs w:val="22"/>
        </w:rPr>
      </w:pPr>
    </w:p>
    <w:p w14:paraId="08050140">
      <w:pPr>
        <w:ind w:firstLine="708"/>
        <w:jc w:val="both"/>
        <w:rPr>
          <w:b/>
          <w:sz w:val="22"/>
          <w:szCs w:val="22"/>
        </w:rPr>
      </w:pPr>
      <w:r>
        <w:rPr>
          <w:rFonts w:hint="default"/>
          <w:bCs/>
          <w:sz w:val="22"/>
          <w:szCs w:val="22"/>
        </w:rPr>
        <w:t>A execução será feita por empresa especializada, contratada por meio de processo licitatório, que se responsabilizará pela entrega da obra pronta para uso, devidamente concluída e recebida conforme os padrões e especificações técnicas dispostas no Memorial Descritivo e demais Projetos, Cronograma Físico-Financeiro e documentos anexos.</w:t>
      </w:r>
    </w:p>
    <w:p w14:paraId="7FE80538">
      <w:pPr>
        <w:ind w:firstLine="708"/>
        <w:jc w:val="both"/>
        <w:rPr>
          <w:bCs/>
          <w:sz w:val="22"/>
          <w:szCs w:val="22"/>
        </w:rPr>
      </w:pPr>
    </w:p>
    <w:p w14:paraId="11D89667">
      <w:pPr>
        <w:numPr>
          <w:ilvl w:val="0"/>
          <w:numId w:val="6"/>
        </w:numPr>
        <w:jc w:val="both"/>
        <w:rPr>
          <w:b/>
          <w:sz w:val="22"/>
          <w:szCs w:val="22"/>
        </w:rPr>
      </w:pPr>
      <w:r>
        <w:rPr>
          <w:b/>
          <w:bCs/>
          <w:sz w:val="22"/>
          <w:szCs w:val="22"/>
        </w:rPr>
        <w:t>JUSTIFICATIVAS</w:t>
      </w:r>
      <w:r>
        <w:rPr>
          <w:b/>
          <w:sz w:val="22"/>
          <w:szCs w:val="22"/>
        </w:rPr>
        <w:t xml:space="preserve"> PARA O PARCELAMENTO OU NÃO DA CONTRATAÇÃO:</w:t>
      </w:r>
    </w:p>
    <w:p w14:paraId="08D2B10F">
      <w:pPr>
        <w:numPr>
          <w:ilvl w:val="0"/>
          <w:numId w:val="0"/>
        </w:numPr>
        <w:jc w:val="both"/>
        <w:rPr>
          <w:b/>
          <w:sz w:val="22"/>
          <w:szCs w:val="22"/>
        </w:rPr>
      </w:pPr>
    </w:p>
    <w:p w14:paraId="49BC289B">
      <w:pPr>
        <w:jc w:val="both"/>
        <w:rPr>
          <w:rFonts w:hint="default"/>
          <w:bCs/>
          <w:sz w:val="22"/>
          <w:szCs w:val="22"/>
        </w:rPr>
      </w:pPr>
      <w:r>
        <w:rPr>
          <w:rFonts w:hint="default"/>
          <w:bCs/>
          <w:sz w:val="22"/>
          <w:szCs w:val="22"/>
          <w:lang w:val="pt-BR"/>
        </w:rPr>
        <w:t xml:space="preserve">6.1 - </w:t>
      </w:r>
      <w:r>
        <w:rPr>
          <w:rFonts w:hint="default"/>
          <w:bCs/>
          <w:sz w:val="22"/>
          <w:szCs w:val="22"/>
        </w:rPr>
        <w:t>A não adoção do parcelamento se justifica nos seguintes aspectos:</w:t>
      </w:r>
    </w:p>
    <w:p w14:paraId="2E026A9F">
      <w:pPr>
        <w:jc w:val="both"/>
        <w:rPr>
          <w:rFonts w:hint="default"/>
          <w:bCs/>
          <w:sz w:val="22"/>
          <w:szCs w:val="22"/>
        </w:rPr>
      </w:pPr>
    </w:p>
    <w:p w14:paraId="595463F2">
      <w:pPr>
        <w:numPr>
          <w:ilvl w:val="0"/>
          <w:numId w:val="7"/>
        </w:numPr>
        <w:jc w:val="both"/>
        <w:rPr>
          <w:rFonts w:hint="default"/>
          <w:bCs/>
          <w:sz w:val="22"/>
          <w:szCs w:val="22"/>
        </w:rPr>
      </w:pPr>
      <w:r>
        <w:rPr>
          <w:rFonts w:hint="default"/>
          <w:bCs/>
          <w:sz w:val="22"/>
          <w:szCs w:val="22"/>
        </w:rPr>
        <w:t>Inviabilidade Técnica e Necessidade de Contratação Única:</w:t>
      </w:r>
    </w:p>
    <w:p w14:paraId="7C42DBD7">
      <w:pPr>
        <w:jc w:val="both"/>
        <w:rPr>
          <w:rFonts w:hint="default"/>
          <w:bCs/>
          <w:sz w:val="22"/>
          <w:szCs w:val="22"/>
        </w:rPr>
      </w:pPr>
      <w:r>
        <w:rPr>
          <w:rFonts w:hint="default"/>
          <w:bCs/>
          <w:sz w:val="22"/>
          <w:szCs w:val="22"/>
        </w:rPr>
        <w:t>A obra de construção da Creche Pré-Escola Tipo 1 é caracterizada pela elevada interdependência entre seus sistemas (fundação, estrutura, instalações elétricas e hidrossanitárias, sistemas de segurança, climatização e acabamentos). O parcelamento, neste caso, comprometeria a execução integrada, a compatibilidade dos projetos complementares e a coordenação técnica de etapas críticas, elevando o risco de falhas, descontinuidades na execução e dificuldade na atribuição de responsabilidade sobre a qualidade final do objeto. Esta decisão visa garantir o controle integral e a responsabilidade consolidada, conforme previsto no art. 40, inciso V, alínea "b", da Lei 14.133/21.</w:t>
      </w:r>
    </w:p>
    <w:p w14:paraId="2E90C179">
      <w:pPr>
        <w:jc w:val="both"/>
        <w:rPr>
          <w:rFonts w:hint="default"/>
          <w:bCs/>
          <w:sz w:val="22"/>
          <w:szCs w:val="22"/>
        </w:rPr>
      </w:pPr>
    </w:p>
    <w:p w14:paraId="4A345248">
      <w:pPr>
        <w:numPr>
          <w:ilvl w:val="0"/>
          <w:numId w:val="7"/>
        </w:numPr>
        <w:ind w:left="0" w:leftChars="0" w:firstLine="0" w:firstLineChars="0"/>
        <w:jc w:val="both"/>
        <w:rPr>
          <w:rFonts w:hint="default"/>
          <w:bCs/>
          <w:sz w:val="22"/>
          <w:szCs w:val="22"/>
        </w:rPr>
      </w:pPr>
      <w:r>
        <w:rPr>
          <w:rFonts w:hint="default"/>
          <w:bCs/>
          <w:sz w:val="22"/>
          <w:szCs w:val="22"/>
        </w:rPr>
        <w:t>Inviabilidade Econômica e Perda de Economia de Escala:</w:t>
      </w:r>
    </w:p>
    <w:p w14:paraId="495EAF44">
      <w:pPr>
        <w:jc w:val="both"/>
        <w:rPr>
          <w:b/>
          <w:sz w:val="22"/>
          <w:szCs w:val="22"/>
        </w:rPr>
      </w:pPr>
      <w:r>
        <w:rPr>
          <w:rFonts w:hint="default"/>
          <w:bCs/>
          <w:sz w:val="22"/>
          <w:szCs w:val="22"/>
        </w:rPr>
        <w:t>A contratação única é economicamente mais vantajosa para a Administração Pública, pois a divisão do objeto em lotes menores resultaria na perda da economia de escala. O fracionamento dos serviços levaria à diluição menos eficiente dos custos fixos, operacionais e administrativos da(s) Contratada(s), elevando o Preço Global da contratação sem ampliar significativamente a competitividade ou o aproveitamento do mercado, uma vez que a execução total é realizada por empresas do mesmo ramo de atividade.</w:t>
      </w:r>
    </w:p>
    <w:p w14:paraId="3F482040">
      <w:pPr>
        <w:jc w:val="both"/>
        <w:rPr>
          <w:b/>
          <w:sz w:val="22"/>
          <w:szCs w:val="22"/>
        </w:rPr>
      </w:pPr>
    </w:p>
    <w:p w14:paraId="33B2E57E">
      <w:pPr>
        <w:jc w:val="both"/>
        <w:rPr>
          <w:b/>
          <w:sz w:val="22"/>
          <w:szCs w:val="22"/>
        </w:rPr>
      </w:pPr>
    </w:p>
    <w:p w14:paraId="22554971">
      <w:pPr>
        <w:jc w:val="both"/>
        <w:rPr>
          <w:b/>
          <w:sz w:val="22"/>
          <w:szCs w:val="22"/>
        </w:rPr>
      </w:pPr>
      <w:r>
        <w:rPr>
          <w:b/>
          <w:sz w:val="22"/>
          <w:szCs w:val="22"/>
        </w:rPr>
        <w:t xml:space="preserve">7. DA PRESTAÇÃO DO SERVIÇO: </w:t>
      </w:r>
    </w:p>
    <w:p w14:paraId="3CEF4772">
      <w:pPr>
        <w:jc w:val="both"/>
        <w:rPr>
          <w:b/>
          <w:sz w:val="22"/>
          <w:szCs w:val="22"/>
        </w:rPr>
      </w:pPr>
    </w:p>
    <w:p w14:paraId="074AB320">
      <w:pPr>
        <w:pStyle w:val="31"/>
        <w:numPr>
          <w:ilvl w:val="1"/>
          <w:numId w:val="8"/>
        </w:numPr>
        <w:ind w:left="720" w:leftChars="0" w:firstLine="0" w:firstLineChars="0"/>
        <w:rPr>
          <w:rFonts w:ascii="Times New Roman" w:hAnsi="Times New Roman" w:cs="Times New Roman"/>
          <w:i w:val="0"/>
          <w:iCs w:val="0"/>
          <w:color w:val="auto"/>
          <w:sz w:val="22"/>
          <w:szCs w:val="22"/>
        </w:rPr>
      </w:pPr>
      <w:r>
        <w:rPr>
          <w:rFonts w:ascii="Times New Roman" w:hAnsi="Times New Roman" w:cs="Times New Roman"/>
          <w:i w:val="0"/>
          <w:iCs w:val="0"/>
          <w:color w:val="auto"/>
          <w:sz w:val="22"/>
          <w:szCs w:val="22"/>
        </w:rPr>
        <w:t>– O prazo de vigência da contratação será de até 12 (doze) meses, contados da data da assinatura do contrato, podendo ser prorrogado por igual período, apenas nos casos legalmente permitidos, conforme o art. 105, inciso I, da Lei nº 14.133/2021, mediante justificativa técnica da Administração e sem alteração do objeto contratado.</w:t>
      </w:r>
    </w:p>
    <w:p w14:paraId="5F3C6A51">
      <w:pPr>
        <w:pStyle w:val="31"/>
        <w:numPr>
          <w:ilvl w:val="1"/>
          <w:numId w:val="8"/>
        </w:numPr>
        <w:ind w:left="720" w:leftChars="0" w:firstLine="0" w:firstLineChars="0"/>
        <w:rPr>
          <w:rFonts w:ascii="Times New Roman" w:hAnsi="Times New Roman" w:cs="Times New Roman"/>
          <w:i w:val="0"/>
          <w:iCs w:val="0"/>
          <w:color w:val="auto"/>
          <w:sz w:val="22"/>
          <w:szCs w:val="22"/>
        </w:rPr>
      </w:pPr>
      <w:r>
        <w:rPr>
          <w:rFonts w:ascii="Times New Roman" w:hAnsi="Times New Roman" w:cs="Times New Roman"/>
          <w:i w:val="0"/>
          <w:iCs w:val="0"/>
          <w:color w:val="auto"/>
          <w:sz w:val="22"/>
          <w:szCs w:val="22"/>
        </w:rPr>
        <w:t>– O serviço não é enquadrado como continuado, tendo em vista que se refere à execução de obra com escopo físico definido e prazo determinado para sua conclusão, conforme previsto no projeto e no cronograma físico-financeiro aprovado. A vigência proposta considera os prazos estimados para a execução completa da obra, incluindo as etapas preliminares, execução física, testes, entrega de documentação técnica (Databook) e emissão do Termo de Aceite</w:t>
      </w:r>
    </w:p>
    <w:p w14:paraId="2088288C">
      <w:pPr>
        <w:pStyle w:val="31"/>
        <w:numPr>
          <w:ilvl w:val="0"/>
          <w:numId w:val="0"/>
        </w:numPr>
        <w:rPr>
          <w:sz w:val="22"/>
          <w:szCs w:val="22"/>
        </w:rPr>
      </w:pPr>
      <w:r>
        <w:rPr>
          <w:rFonts w:ascii="Times New Roman" w:hAnsi="Times New Roman" w:cs="Times New Roman"/>
          <w:i w:val="0"/>
          <w:iCs w:val="0"/>
          <w:color w:val="auto"/>
          <w:sz w:val="22"/>
          <w:szCs w:val="22"/>
        </w:rPr>
        <w:tab/>
      </w:r>
      <w:r>
        <w:rPr>
          <w:rFonts w:ascii="Times New Roman" w:hAnsi="Times New Roman" w:cs="Times New Roman"/>
          <w:i w:val="0"/>
          <w:iCs w:val="0"/>
          <w:color w:val="auto"/>
          <w:sz w:val="22"/>
          <w:szCs w:val="22"/>
        </w:rPr>
        <w:t xml:space="preserve">7.3 – O contrato oferece maior detalhamento das regras que serão aplicadas em relação à vigência da contratação. </w:t>
      </w:r>
    </w:p>
    <w:p w14:paraId="22884553">
      <w:pPr>
        <w:pStyle w:val="10"/>
        <w:numPr>
          <w:ilvl w:val="1"/>
          <w:numId w:val="9"/>
        </w:numPr>
        <w:spacing w:before="0" w:beforeAutospacing="0" w:after="0" w:afterAutospacing="0"/>
        <w:jc w:val="both"/>
        <w:rPr>
          <w:sz w:val="22"/>
          <w:szCs w:val="22"/>
        </w:rPr>
      </w:pPr>
      <w:bookmarkStart w:id="0" w:name="_Hlk169713999"/>
      <w:r>
        <w:rPr>
          <w:sz w:val="22"/>
          <w:szCs w:val="22"/>
        </w:rPr>
        <w:t>– Regras de Recebimento provisório e definitivo do objeto:</w:t>
      </w:r>
    </w:p>
    <w:bookmarkEnd w:id="0"/>
    <w:p w14:paraId="51CA23D5">
      <w:pPr>
        <w:pStyle w:val="10"/>
        <w:numPr>
          <w:ilvl w:val="0"/>
          <w:numId w:val="0"/>
        </w:numPr>
        <w:spacing w:before="0" w:beforeAutospacing="0" w:after="0" w:afterAutospacing="0"/>
        <w:jc w:val="both"/>
        <w:rPr>
          <w:rFonts w:eastAsiaTheme="minorEastAsia"/>
          <w:color w:val="000000"/>
          <w:sz w:val="22"/>
          <w:szCs w:val="22"/>
          <w:lang w:eastAsia="en-US"/>
        </w:rPr>
      </w:pPr>
      <w:bookmarkStart w:id="1" w:name="_Hlk169714085"/>
    </w:p>
    <w:bookmarkEnd w:id="1"/>
    <w:p w14:paraId="165EC949">
      <w:pPr>
        <w:pStyle w:val="10"/>
        <w:numPr>
          <w:ilvl w:val="0"/>
          <w:numId w:val="0"/>
        </w:numPr>
        <w:spacing w:before="0" w:beforeAutospacing="0" w:after="0" w:afterAutospacing="0"/>
        <w:jc w:val="both"/>
        <w:rPr>
          <w:rFonts w:hint="default" w:eastAsiaTheme="minorEastAsia"/>
          <w:color w:val="000000"/>
          <w:sz w:val="22"/>
          <w:szCs w:val="22"/>
          <w:lang w:val="pt-BR" w:eastAsia="en-US"/>
        </w:rPr>
      </w:pPr>
      <w:r>
        <w:rPr>
          <w:rFonts w:hint="default" w:eastAsiaTheme="minorEastAsia"/>
          <w:color w:val="000000"/>
          <w:sz w:val="22"/>
          <w:szCs w:val="22"/>
          <w:lang w:val="pt-BR" w:eastAsia="en-US"/>
        </w:rPr>
        <w:t xml:space="preserve">7.4.1 </w:t>
      </w:r>
      <w:r>
        <w:rPr>
          <w:rFonts w:eastAsiaTheme="minorEastAsia"/>
          <w:color w:val="000000"/>
          <w:sz w:val="22"/>
          <w:szCs w:val="22"/>
          <w:lang w:eastAsia="en-US"/>
        </w:rPr>
        <w:t>– O período de avaliação provisória será de até 180 (cento e oitenta) dias, a contar da entrega formal da obra, durante o qual a contratada deverá responder integralmente por quaisquer falhas ou vícios aparentes identificados com o uso da edificação</w:t>
      </w:r>
      <w:r>
        <w:rPr>
          <w:rFonts w:hint="default" w:eastAsiaTheme="minorEastAsia"/>
          <w:color w:val="000000"/>
          <w:sz w:val="22"/>
          <w:szCs w:val="22"/>
          <w:lang w:val="pt-BR" w:eastAsia="en-US"/>
        </w:rPr>
        <w:t xml:space="preserve">. Tempo este justificado pelo </w:t>
      </w:r>
      <w:r>
        <w:rPr>
          <w:rFonts w:eastAsiaTheme="minorEastAsia"/>
          <w:color w:val="000000"/>
          <w:sz w:val="22"/>
          <w:szCs w:val="22"/>
          <w:lang w:eastAsia="en-US"/>
        </w:rPr>
        <w:t>tempo de observação técnica do funcionamento da obra</w:t>
      </w:r>
      <w:r>
        <w:rPr>
          <w:rFonts w:hint="default" w:eastAsiaTheme="minorEastAsia"/>
          <w:color w:val="000000"/>
          <w:sz w:val="22"/>
          <w:szCs w:val="22"/>
          <w:lang w:val="pt-BR" w:eastAsia="en-US"/>
        </w:rPr>
        <w:t>, tais como instalações hidrossanitárias, elétricas, desempenho térmico e acústico e patologias que só se manifestam com o uso da edificação.</w:t>
      </w:r>
    </w:p>
    <w:p w14:paraId="59B264B3">
      <w:pPr>
        <w:pStyle w:val="10"/>
        <w:numPr>
          <w:ilvl w:val="0"/>
          <w:numId w:val="0"/>
        </w:numPr>
        <w:spacing w:before="0" w:beforeAutospacing="0" w:after="0" w:afterAutospacing="0"/>
        <w:jc w:val="both"/>
        <w:rPr>
          <w:rFonts w:eastAsiaTheme="minorEastAsia"/>
          <w:color w:val="000000"/>
          <w:sz w:val="22"/>
          <w:szCs w:val="22"/>
          <w:lang w:eastAsia="en-US"/>
        </w:rPr>
      </w:pPr>
      <w:r>
        <w:rPr>
          <w:rFonts w:eastAsiaTheme="minorEastAsia"/>
          <w:b w:val="0"/>
          <w:bCs w:val="0"/>
          <w:color w:val="000000"/>
          <w:sz w:val="22"/>
          <w:szCs w:val="22"/>
          <w:lang w:eastAsia="en-US"/>
        </w:rPr>
        <w:t>7.4.2</w:t>
      </w:r>
      <w:r>
        <w:rPr>
          <w:rFonts w:eastAsiaTheme="minorEastAsia"/>
          <w:color w:val="000000"/>
          <w:sz w:val="22"/>
          <w:szCs w:val="22"/>
          <w:lang w:eastAsia="en-US"/>
        </w:rPr>
        <w:t xml:space="preserve"> – O prazo acima será contado do recebimento de comunicação formal do contratado, acompanhada da comprovação da conclusão da etapa de serviços correspondente.</w:t>
      </w:r>
    </w:p>
    <w:p w14:paraId="7BDA894E">
      <w:pPr>
        <w:pStyle w:val="10"/>
        <w:spacing w:before="0" w:beforeAutospacing="0" w:after="0" w:afterAutospacing="0"/>
        <w:jc w:val="both"/>
        <w:rPr>
          <w:rFonts w:eastAsiaTheme="minorEastAsia"/>
          <w:color w:val="000000"/>
          <w:sz w:val="22"/>
          <w:szCs w:val="22"/>
          <w:lang w:eastAsia="en-US"/>
        </w:rPr>
      </w:pPr>
      <w:r>
        <w:rPr>
          <w:rFonts w:eastAsiaTheme="minorEastAsia"/>
          <w:color w:val="000000"/>
          <w:sz w:val="22"/>
          <w:szCs w:val="22"/>
          <w:lang w:eastAsia="en-US"/>
        </w:rPr>
        <w:t>7.4.3 – O Fiscal Técnico realizará o recebimento provisório do objeto por meio de termo detalhado que comprove a conformidade técnica com os projetos, memoriais, normas e cronogramas estabelecidos.</w:t>
      </w:r>
    </w:p>
    <w:p w14:paraId="09D27E3C">
      <w:pPr>
        <w:pStyle w:val="10"/>
        <w:spacing w:before="0" w:beforeAutospacing="0" w:after="0" w:afterAutospacing="0"/>
        <w:jc w:val="both"/>
        <w:rPr>
          <w:rFonts w:eastAsiaTheme="minorEastAsia"/>
          <w:color w:val="000000"/>
          <w:sz w:val="22"/>
          <w:szCs w:val="22"/>
          <w:lang w:eastAsia="en-US"/>
        </w:rPr>
      </w:pPr>
      <w:r>
        <w:rPr>
          <w:rFonts w:eastAsiaTheme="minorEastAsia"/>
          <w:color w:val="000000"/>
          <w:sz w:val="22"/>
          <w:szCs w:val="22"/>
          <w:lang w:eastAsia="en-US"/>
        </w:rPr>
        <w:t>7.4.4 – O Fiscal Administrativo realizará o recebimento provisório do objeto mediante termo detalhado que comprove o cumprimento das obrigações documentais, fiscais e administrativas do contrato.</w:t>
      </w:r>
    </w:p>
    <w:p w14:paraId="6B4171E0">
      <w:pPr>
        <w:pStyle w:val="10"/>
        <w:spacing w:before="0" w:beforeAutospacing="0" w:after="0" w:afterAutospacing="0"/>
        <w:jc w:val="both"/>
        <w:rPr>
          <w:rFonts w:eastAsiaTheme="minorEastAsia"/>
          <w:color w:val="000000"/>
          <w:sz w:val="22"/>
          <w:szCs w:val="22"/>
          <w:lang w:eastAsia="en-US"/>
        </w:rPr>
      </w:pPr>
      <w:r>
        <w:rPr>
          <w:rFonts w:eastAsiaTheme="minorEastAsia"/>
          <w:color w:val="000000"/>
          <w:sz w:val="22"/>
          <w:szCs w:val="22"/>
          <w:lang w:eastAsia="en-US"/>
        </w:rPr>
        <w:t>7.4.5 – O fiscal setorial, quando houver, realizará o recebimento provisório sob os aspectos técnico e administrativo, consolidando os registros para encaminhamento ao gestor do contrato.</w:t>
      </w:r>
    </w:p>
    <w:p w14:paraId="48BA936A">
      <w:pPr>
        <w:pStyle w:val="10"/>
        <w:spacing w:before="0" w:beforeAutospacing="0" w:after="0" w:afterAutospacing="0"/>
        <w:jc w:val="both"/>
        <w:rPr>
          <w:rFonts w:eastAsiaTheme="minorEastAsia"/>
          <w:color w:val="000000"/>
          <w:sz w:val="22"/>
          <w:szCs w:val="22"/>
          <w:lang w:eastAsia="en-US"/>
        </w:rPr>
      </w:pPr>
      <w:r>
        <w:rPr>
          <w:rFonts w:eastAsiaTheme="minorEastAsia"/>
          <w:color w:val="000000"/>
          <w:sz w:val="22"/>
          <w:szCs w:val="22"/>
          <w:lang w:eastAsia="en-US"/>
        </w:rPr>
        <w:t>7.4.6 – O recebimento provisório será considerado concluído com a entrega do termo detalhado correspondente, ou, quando houver mais de um termo parcial, com a entrega do último.</w:t>
      </w:r>
    </w:p>
    <w:p w14:paraId="38B618DC">
      <w:pPr>
        <w:pStyle w:val="10"/>
        <w:spacing w:before="0" w:beforeAutospacing="0" w:after="0" w:afterAutospacing="0"/>
        <w:jc w:val="both"/>
        <w:rPr>
          <w:rFonts w:eastAsiaTheme="minorEastAsia"/>
          <w:color w:val="000000"/>
          <w:sz w:val="22"/>
          <w:szCs w:val="22"/>
          <w:lang w:eastAsia="en-US"/>
        </w:rPr>
      </w:pPr>
      <w:r>
        <w:rPr>
          <w:rFonts w:eastAsiaTheme="minorEastAsia"/>
          <w:color w:val="000000"/>
          <w:sz w:val="22"/>
          <w:szCs w:val="22"/>
          <w:lang w:eastAsia="en-US"/>
        </w:rPr>
        <w:t>7.4.7 – Para o recebimento provisório, o fiscal técnico deverá apurar a qualidade da execução conforme os indicadores definidos e registrar eventuais não conformidades que possam impactar o valor a ser pago, com redimensionamento, se necessário.</w:t>
      </w:r>
    </w:p>
    <w:p w14:paraId="3CE4711C">
      <w:pPr>
        <w:pStyle w:val="10"/>
        <w:spacing w:before="0" w:beforeAutospacing="0" w:after="0" w:afterAutospacing="0"/>
        <w:jc w:val="both"/>
        <w:rPr>
          <w:rFonts w:eastAsiaTheme="minorEastAsia"/>
          <w:color w:val="000000"/>
          <w:sz w:val="22"/>
          <w:szCs w:val="22"/>
          <w:highlight w:val="none"/>
          <w:lang w:eastAsia="en-US"/>
        </w:rPr>
      </w:pPr>
      <w:r>
        <w:rPr>
          <w:rFonts w:eastAsiaTheme="minorEastAsia"/>
          <w:color w:val="000000"/>
          <w:sz w:val="22"/>
          <w:szCs w:val="22"/>
          <w:highlight w:val="none"/>
          <w:lang w:eastAsia="en-US"/>
        </w:rPr>
        <w:t>7.4.8 – A entrega do Databook é obrigatória como condição para o recebimento provisório e deve conter, no mínimo:</w:t>
      </w:r>
    </w:p>
    <w:p w14:paraId="22D41A10">
      <w:pPr>
        <w:pStyle w:val="10"/>
        <w:numPr>
          <w:ilvl w:val="0"/>
          <w:numId w:val="10"/>
        </w:numPr>
        <w:spacing w:before="0" w:beforeAutospacing="0" w:after="0" w:afterAutospacing="0"/>
        <w:jc w:val="both"/>
        <w:rPr>
          <w:rFonts w:eastAsiaTheme="minorEastAsia"/>
          <w:color w:val="000000"/>
          <w:sz w:val="22"/>
          <w:szCs w:val="22"/>
          <w:highlight w:val="none"/>
          <w:lang w:eastAsia="en-US"/>
        </w:rPr>
      </w:pPr>
      <w:r>
        <w:rPr>
          <w:rFonts w:eastAsiaTheme="minorEastAsia"/>
          <w:color w:val="000000"/>
          <w:sz w:val="22"/>
          <w:szCs w:val="22"/>
          <w:highlight w:val="none"/>
          <w:lang w:eastAsia="en-US"/>
        </w:rPr>
        <w:t>Relatório fotográfico (antes, durante e depois da execução);</w:t>
      </w:r>
    </w:p>
    <w:p w14:paraId="3DF897F4">
      <w:pPr>
        <w:pStyle w:val="10"/>
        <w:numPr>
          <w:ilvl w:val="0"/>
          <w:numId w:val="10"/>
        </w:numPr>
        <w:spacing w:before="0" w:beforeAutospacing="0" w:after="0" w:afterAutospacing="0"/>
        <w:jc w:val="both"/>
        <w:rPr>
          <w:rFonts w:eastAsiaTheme="minorEastAsia"/>
          <w:color w:val="000000"/>
          <w:sz w:val="22"/>
          <w:szCs w:val="22"/>
          <w:highlight w:val="none"/>
          <w:lang w:eastAsia="en-US"/>
        </w:rPr>
      </w:pPr>
      <w:r>
        <w:rPr>
          <w:rFonts w:eastAsiaTheme="minorEastAsia"/>
          <w:color w:val="000000"/>
          <w:sz w:val="22"/>
          <w:szCs w:val="22"/>
          <w:highlight w:val="none"/>
          <w:lang w:eastAsia="en-US"/>
        </w:rPr>
        <w:t>Projeto “As Built”</w:t>
      </w:r>
      <w:r>
        <w:rPr>
          <w:rFonts w:hint="default" w:eastAsiaTheme="minorEastAsia"/>
          <w:color w:val="000000"/>
          <w:sz w:val="22"/>
          <w:szCs w:val="22"/>
          <w:highlight w:val="none"/>
          <w:lang w:val="pt-BR" w:eastAsia="en-US"/>
        </w:rPr>
        <w:t xml:space="preserve">: </w:t>
      </w:r>
      <w:r>
        <w:rPr>
          <w:rFonts w:eastAsiaTheme="minorEastAsia"/>
          <w:color w:val="000000"/>
          <w:sz w:val="22"/>
          <w:szCs w:val="22"/>
          <w:highlight w:val="none"/>
          <w:lang w:eastAsia="en-US"/>
        </w:rPr>
        <w:t xml:space="preserve"> </w:t>
      </w:r>
      <w:r>
        <w:rPr>
          <w:rFonts w:hint="default" w:eastAsiaTheme="minorEastAsia"/>
          <w:color w:val="000000"/>
          <w:sz w:val="22"/>
          <w:szCs w:val="22"/>
          <w:highlight w:val="none"/>
          <w:lang w:val="pt-BR" w:eastAsia="ar-SA"/>
        </w:rPr>
        <w:t>Ao final da execução da obra, a contratada deverá entregar todos os projetos executivos devidamente atualizados no formato “as built”, contemplando as alterações efetivamente realizadas durante a execução. Deverão estar incluídas, no mínimo, as instalações elétricas, hidrossanitárias, estruturais, de drenagem, lógica, acessibilidade e demais sistemas pertinentes. A entrega deverá ocorrer em formato físico (papel) e digital (DWG e PDF), devidamente assinados pelo responsável técnico.</w:t>
      </w:r>
    </w:p>
    <w:p w14:paraId="04EA31B4">
      <w:pPr>
        <w:pStyle w:val="10"/>
        <w:numPr>
          <w:ilvl w:val="0"/>
          <w:numId w:val="10"/>
        </w:numPr>
        <w:spacing w:before="0" w:beforeAutospacing="0" w:after="0" w:afterAutospacing="0"/>
        <w:jc w:val="both"/>
        <w:rPr>
          <w:rFonts w:eastAsiaTheme="minorEastAsia"/>
          <w:color w:val="000000"/>
          <w:sz w:val="22"/>
          <w:szCs w:val="22"/>
          <w:highlight w:val="none"/>
          <w:lang w:eastAsia="en-US"/>
        </w:rPr>
      </w:pPr>
      <w:r>
        <w:rPr>
          <w:rFonts w:eastAsiaTheme="minorEastAsia"/>
          <w:color w:val="000000"/>
          <w:sz w:val="22"/>
          <w:szCs w:val="22"/>
          <w:highlight w:val="none"/>
          <w:lang w:eastAsia="en-US"/>
        </w:rPr>
        <w:t>Notas fiscais de materiais (tubos, registros, etc.) e serviços executados;</w:t>
      </w:r>
    </w:p>
    <w:p w14:paraId="27817380">
      <w:pPr>
        <w:pStyle w:val="10"/>
        <w:numPr>
          <w:ilvl w:val="0"/>
          <w:numId w:val="10"/>
        </w:numPr>
        <w:spacing w:before="0" w:beforeAutospacing="0" w:after="0" w:afterAutospacing="0"/>
        <w:jc w:val="both"/>
        <w:rPr>
          <w:rFonts w:eastAsiaTheme="minorEastAsia"/>
          <w:color w:val="000000"/>
          <w:sz w:val="22"/>
          <w:szCs w:val="22"/>
          <w:highlight w:val="none"/>
          <w:lang w:eastAsia="en-US"/>
        </w:rPr>
      </w:pPr>
      <w:r>
        <w:rPr>
          <w:rFonts w:eastAsiaTheme="minorEastAsia"/>
          <w:color w:val="000000"/>
          <w:sz w:val="22"/>
          <w:szCs w:val="22"/>
          <w:highlight w:val="none"/>
          <w:lang w:eastAsia="en-US"/>
        </w:rPr>
        <w:t>Licenças e autorizações junto aos órgãos competentes.</w:t>
      </w:r>
    </w:p>
    <w:p w14:paraId="2C38B651">
      <w:pPr>
        <w:pStyle w:val="10"/>
        <w:spacing w:before="0" w:beforeAutospacing="0" w:after="0" w:afterAutospacing="0"/>
        <w:jc w:val="both"/>
        <w:rPr>
          <w:rFonts w:eastAsiaTheme="minorEastAsia"/>
          <w:color w:val="000000"/>
          <w:sz w:val="22"/>
          <w:szCs w:val="22"/>
          <w:lang w:eastAsia="en-US"/>
        </w:rPr>
      </w:pPr>
      <w:r>
        <w:rPr>
          <w:rFonts w:eastAsiaTheme="minorEastAsia"/>
          <w:color w:val="000000"/>
          <w:sz w:val="22"/>
          <w:szCs w:val="22"/>
          <w:lang w:eastAsia="en-US"/>
        </w:rPr>
        <w:t>7.4.9 – A contratada deverá, às suas expensas, reparar, corrigir, remover, reconstruir ou substituir qualquer parte do objeto que apresente vícios ou defeitos, sendo vedado o ateste da última medição enquanto houver pendências.</w:t>
      </w:r>
    </w:p>
    <w:p w14:paraId="16B6F97A">
      <w:pPr>
        <w:pStyle w:val="10"/>
        <w:spacing w:before="0" w:beforeAutospacing="0" w:after="0" w:afterAutospacing="0"/>
        <w:jc w:val="both"/>
        <w:rPr>
          <w:rFonts w:eastAsiaTheme="minorEastAsia"/>
          <w:color w:val="000000"/>
          <w:sz w:val="22"/>
          <w:szCs w:val="22"/>
          <w:lang w:eastAsia="en-US"/>
        </w:rPr>
      </w:pPr>
      <w:r>
        <w:rPr>
          <w:rFonts w:eastAsiaTheme="minorEastAsia"/>
          <w:color w:val="000000"/>
          <w:sz w:val="22"/>
          <w:szCs w:val="22"/>
          <w:lang w:eastAsia="en-US"/>
        </w:rPr>
        <w:t>7.4.10 – A fiscalização não atestará a última medição enquanto houver pendências técnicas ou administrativas apontadas durante o recebimento provisório (arts. 119 e 140 da Lei nº 14.133/2021).</w:t>
      </w:r>
    </w:p>
    <w:p w14:paraId="048D6BB4">
      <w:pPr>
        <w:pStyle w:val="10"/>
        <w:spacing w:before="0" w:beforeAutospacing="0" w:after="0" w:afterAutospacing="0"/>
        <w:jc w:val="both"/>
        <w:rPr>
          <w:rFonts w:eastAsiaTheme="minorEastAsia"/>
          <w:color w:val="000000"/>
          <w:sz w:val="22"/>
          <w:szCs w:val="22"/>
          <w:lang w:eastAsia="en-US"/>
        </w:rPr>
      </w:pPr>
      <w:r>
        <w:rPr>
          <w:rFonts w:eastAsiaTheme="minorEastAsia"/>
          <w:color w:val="000000"/>
          <w:sz w:val="22"/>
          <w:szCs w:val="22"/>
          <w:lang w:eastAsia="en-US"/>
        </w:rPr>
        <w:t>7.4.11 – O recebimento provisório também ficará condicionado, quando cabível, à conclusão dos testes de campo, entrega de manuais, instruções técnicas e demais exigências previstas.</w:t>
      </w:r>
    </w:p>
    <w:p w14:paraId="40699C93">
      <w:pPr>
        <w:pStyle w:val="10"/>
        <w:spacing w:before="0" w:beforeAutospacing="0" w:after="0" w:afterAutospacing="0"/>
        <w:jc w:val="both"/>
        <w:rPr>
          <w:rFonts w:eastAsiaTheme="minorEastAsia"/>
          <w:color w:val="000000"/>
          <w:sz w:val="22"/>
          <w:szCs w:val="22"/>
          <w:lang w:eastAsia="en-US"/>
        </w:rPr>
      </w:pPr>
      <w:r>
        <w:rPr>
          <w:rFonts w:eastAsiaTheme="minorEastAsia"/>
          <w:color w:val="000000"/>
          <w:sz w:val="22"/>
          <w:szCs w:val="22"/>
          <w:lang w:eastAsia="en-US"/>
        </w:rPr>
        <w:t>7.4.12 – Os serviços poderão ser rejeitados, no todo ou em parte, caso estejam em desacordo com as especificações deste Termo de Referência e com a proposta da contratada, sem prejuízo da aplicação de penalidades.</w:t>
      </w:r>
    </w:p>
    <w:p w14:paraId="2EA8987B">
      <w:pPr>
        <w:pStyle w:val="10"/>
        <w:spacing w:before="0" w:beforeAutospacing="0" w:after="0" w:afterAutospacing="0"/>
        <w:jc w:val="both"/>
        <w:rPr>
          <w:rFonts w:eastAsiaTheme="minorEastAsia"/>
          <w:color w:val="000000"/>
          <w:sz w:val="22"/>
          <w:szCs w:val="22"/>
          <w:lang w:eastAsia="en-US"/>
        </w:rPr>
      </w:pPr>
      <w:r>
        <w:rPr>
          <w:rFonts w:eastAsiaTheme="minorEastAsia"/>
          <w:color w:val="000000"/>
          <w:sz w:val="22"/>
          <w:szCs w:val="22"/>
          <w:lang w:eastAsia="en-US"/>
        </w:rPr>
        <w:t>7.4.13 – Quando a fiscalização for exercida por servidor único, o termo de recebimento deverá conter registros técnicos e administrativos, bem como a análise conclusiva da execução do objeto.</w:t>
      </w:r>
    </w:p>
    <w:p w14:paraId="76EA215D">
      <w:pPr>
        <w:pStyle w:val="10"/>
        <w:spacing w:before="0" w:beforeAutospacing="0" w:after="0" w:afterAutospacing="0"/>
        <w:jc w:val="both"/>
        <w:rPr>
          <w:rFonts w:ascii="SimSun" w:hAnsi="SimSun" w:eastAsia="SimSun" w:cs="SimSun"/>
          <w:sz w:val="24"/>
          <w:szCs w:val="24"/>
        </w:rPr>
      </w:pPr>
      <w:r>
        <w:rPr>
          <w:rFonts w:eastAsiaTheme="minorEastAsia"/>
          <w:color w:val="000000"/>
          <w:sz w:val="22"/>
          <w:szCs w:val="22"/>
          <w:lang w:eastAsia="en-US"/>
        </w:rPr>
        <w:t>7.4.14 – O recebimento definitivo será realizado no prazo de até 60 (sessenta) dias, contados a partir da data do recebimento provisório, por comissão ou servidor formalmente designado, mediante verificação da conformidade integral da execução do objeto com os requisitos contratuais, normas técnicas, projetos executivos e demais documentos exigidos.</w:t>
      </w:r>
    </w:p>
    <w:p w14:paraId="1CF64428">
      <w:pPr>
        <w:pStyle w:val="10"/>
        <w:spacing w:before="0" w:beforeAutospacing="0" w:after="0" w:afterAutospacing="0"/>
        <w:jc w:val="both"/>
        <w:rPr>
          <w:rFonts w:eastAsiaTheme="minorEastAsia"/>
          <w:color w:val="000000"/>
          <w:sz w:val="22"/>
          <w:szCs w:val="22"/>
          <w:lang w:eastAsia="en-US"/>
        </w:rPr>
      </w:pPr>
      <w:r>
        <w:rPr>
          <w:rFonts w:eastAsiaTheme="minorEastAsia"/>
          <w:color w:val="000000"/>
          <w:sz w:val="22"/>
          <w:szCs w:val="22"/>
          <w:lang w:eastAsia="en-US"/>
        </w:rPr>
        <w:t>7.4.15 – Será emitido documento comprobatório da avaliação feita pelos fiscais técnico e administrativo, contendo análise do desempenho da contratada, com base em indicadores definidos, e registro de eventuais sanções aplicadas.</w:t>
      </w:r>
    </w:p>
    <w:p w14:paraId="2EA16C3A">
      <w:pPr>
        <w:pStyle w:val="10"/>
        <w:spacing w:before="0" w:beforeAutospacing="0" w:after="0" w:afterAutospacing="0"/>
        <w:jc w:val="both"/>
        <w:rPr>
          <w:rFonts w:eastAsiaTheme="minorEastAsia"/>
          <w:color w:val="000000"/>
          <w:sz w:val="22"/>
          <w:szCs w:val="22"/>
          <w:lang w:eastAsia="en-US"/>
        </w:rPr>
      </w:pPr>
      <w:r>
        <w:rPr>
          <w:rFonts w:eastAsiaTheme="minorEastAsia"/>
          <w:color w:val="000000"/>
          <w:sz w:val="22"/>
          <w:szCs w:val="22"/>
          <w:lang w:eastAsia="en-US"/>
        </w:rPr>
        <w:t>7.4.16 – Caso identificadas irregularidades que impeçam o pagamento, a comissão de recebimento indicará, por escrito, as cláusulas descumpridas e solicitará à contratada as correções devidas.</w:t>
      </w:r>
    </w:p>
    <w:p w14:paraId="01C1C1AB">
      <w:pPr>
        <w:pStyle w:val="10"/>
        <w:spacing w:before="0" w:beforeAutospacing="0" w:after="0" w:afterAutospacing="0"/>
        <w:jc w:val="both"/>
        <w:rPr>
          <w:rFonts w:eastAsiaTheme="minorEastAsia"/>
          <w:color w:val="000000"/>
          <w:sz w:val="22"/>
          <w:szCs w:val="22"/>
          <w:lang w:eastAsia="en-US"/>
        </w:rPr>
      </w:pPr>
      <w:r>
        <w:rPr>
          <w:rFonts w:eastAsiaTheme="minorEastAsia"/>
          <w:color w:val="000000"/>
          <w:sz w:val="22"/>
          <w:szCs w:val="22"/>
          <w:lang w:eastAsia="en-US"/>
        </w:rPr>
        <w:t>7.4.17 – O Termo de Recebimento Definitivo será emitido com base nos relatórios e documentos apresentados pela fiscalização.</w:t>
      </w:r>
    </w:p>
    <w:p w14:paraId="012F7360">
      <w:pPr>
        <w:pStyle w:val="10"/>
        <w:spacing w:before="0" w:beforeAutospacing="0" w:after="0" w:afterAutospacing="0"/>
        <w:jc w:val="both"/>
        <w:rPr>
          <w:rFonts w:eastAsiaTheme="minorEastAsia"/>
          <w:color w:val="000000"/>
          <w:sz w:val="22"/>
          <w:szCs w:val="22"/>
          <w:lang w:eastAsia="en-US"/>
        </w:rPr>
      </w:pPr>
      <w:r>
        <w:rPr>
          <w:rFonts w:eastAsiaTheme="minorEastAsia"/>
          <w:color w:val="000000"/>
          <w:sz w:val="22"/>
          <w:szCs w:val="22"/>
          <w:lang w:eastAsia="en-US"/>
        </w:rPr>
        <w:t>7.4.18 – A contratada será comunicada para emissão da Nota Fiscal ou Fatura com o valor final aprovado pela fiscalização.</w:t>
      </w:r>
    </w:p>
    <w:p w14:paraId="1469CA79">
      <w:pPr>
        <w:pStyle w:val="10"/>
        <w:spacing w:before="0" w:beforeAutospacing="0" w:after="0" w:afterAutospacing="0"/>
        <w:jc w:val="both"/>
        <w:rPr>
          <w:rFonts w:eastAsiaTheme="minorEastAsia"/>
          <w:color w:val="000000"/>
          <w:sz w:val="22"/>
          <w:szCs w:val="22"/>
          <w:lang w:eastAsia="en-US"/>
        </w:rPr>
      </w:pPr>
      <w:r>
        <w:rPr>
          <w:rFonts w:eastAsiaTheme="minorEastAsia"/>
          <w:color w:val="000000"/>
          <w:sz w:val="22"/>
          <w:szCs w:val="22"/>
          <w:lang w:eastAsia="en-US"/>
        </w:rPr>
        <w:t>7.4.19 – A documentação será encaminhada ao setor de contratos para providências relativas à liquidação e pagamento.</w:t>
      </w:r>
    </w:p>
    <w:p w14:paraId="39894EF5">
      <w:pPr>
        <w:pStyle w:val="10"/>
        <w:spacing w:before="0" w:beforeAutospacing="0" w:after="0" w:afterAutospacing="0"/>
        <w:jc w:val="both"/>
        <w:rPr>
          <w:rFonts w:eastAsiaTheme="minorEastAsia"/>
          <w:color w:val="000000"/>
          <w:sz w:val="22"/>
          <w:szCs w:val="22"/>
          <w:lang w:eastAsia="en-US"/>
        </w:rPr>
      </w:pPr>
      <w:r>
        <w:rPr>
          <w:rFonts w:eastAsiaTheme="minorEastAsia"/>
          <w:color w:val="000000"/>
          <w:sz w:val="22"/>
          <w:szCs w:val="22"/>
          <w:lang w:eastAsia="en-US"/>
        </w:rPr>
        <w:t>7.4.20 – Em caso de controvérsia sobre escopo, qualidade ou quantidade dos serviços, será aplicada a regra do art. 143 da Lei nº 14.133/2021, permitindo o pagamento da parcela incontroversa.</w:t>
      </w:r>
    </w:p>
    <w:p w14:paraId="63A6CCE6">
      <w:pPr>
        <w:pStyle w:val="10"/>
        <w:spacing w:before="0" w:beforeAutospacing="0" w:after="0" w:afterAutospacing="0"/>
        <w:jc w:val="both"/>
        <w:rPr>
          <w:rFonts w:eastAsiaTheme="minorEastAsia"/>
          <w:color w:val="000000"/>
          <w:sz w:val="22"/>
          <w:szCs w:val="22"/>
          <w:lang w:eastAsia="en-US"/>
        </w:rPr>
      </w:pPr>
      <w:r>
        <w:rPr>
          <w:rFonts w:eastAsiaTheme="minorEastAsia"/>
          <w:color w:val="000000"/>
          <w:sz w:val="22"/>
          <w:szCs w:val="22"/>
          <w:lang w:eastAsia="en-US"/>
        </w:rPr>
        <w:t>7.4.21 – Nenhum recebimento ocorrerá enquanto houver inconsistências na execução ou na documentação apresentada pela contratada.</w:t>
      </w:r>
    </w:p>
    <w:p w14:paraId="1BEB1CEA">
      <w:pPr>
        <w:pStyle w:val="10"/>
        <w:spacing w:before="0" w:beforeAutospacing="0" w:after="0" w:afterAutospacing="0"/>
        <w:jc w:val="both"/>
        <w:rPr>
          <w:rFonts w:eastAsiaTheme="minorEastAsia"/>
          <w:color w:val="000000"/>
          <w:sz w:val="22"/>
          <w:szCs w:val="22"/>
          <w:lang w:eastAsia="en-US"/>
        </w:rPr>
      </w:pPr>
      <w:r>
        <w:rPr>
          <w:rFonts w:eastAsiaTheme="minorEastAsia"/>
          <w:color w:val="000000"/>
          <w:sz w:val="22"/>
          <w:szCs w:val="22"/>
          <w:lang w:eastAsia="en-US"/>
        </w:rPr>
        <w:t>7.4.22 – O recebimento provisório e/ou definitivo da obra não exime a contratada de sua responsabilidade técnica, ética e civil, permanecendo plenamente responsável pela solidez, segurança e funcionalidade da construção executada, nos termos da legislação vigente.</w:t>
      </w:r>
    </w:p>
    <w:p w14:paraId="4C2319F5">
      <w:pPr>
        <w:pStyle w:val="10"/>
        <w:spacing w:before="0" w:beforeAutospacing="0" w:after="0" w:afterAutospacing="0"/>
        <w:jc w:val="both"/>
        <w:rPr>
          <w:rFonts w:eastAsiaTheme="minorEastAsia"/>
          <w:color w:val="000000"/>
          <w:sz w:val="22"/>
          <w:szCs w:val="22"/>
          <w:lang w:eastAsia="en-US"/>
        </w:rPr>
      </w:pPr>
      <w:r>
        <w:rPr>
          <w:rFonts w:eastAsiaTheme="minorEastAsia"/>
          <w:color w:val="000000"/>
          <w:sz w:val="22"/>
          <w:szCs w:val="22"/>
          <w:lang w:eastAsia="en-US"/>
        </w:rPr>
        <w:t>Em conformidade com o disposto no art. 618 do Código Civil Brasileiro, a contratada responderá, pelo prazo mínimo de 5 (cinco) anos, contados a partir da data do recebimento definitivo da obra, por vícios ocultos que comprometam a solidez, segurança estrutural, estabilidade ou funcionalidade da edificação, ainda que estes só se revelem posteriormente.</w:t>
      </w:r>
    </w:p>
    <w:p w14:paraId="173F09BE">
      <w:pPr>
        <w:pStyle w:val="10"/>
        <w:spacing w:before="0" w:beforeAutospacing="0" w:after="0" w:afterAutospacing="0"/>
        <w:jc w:val="both"/>
        <w:rPr>
          <w:rFonts w:eastAsiaTheme="minorEastAsia"/>
          <w:color w:val="000000"/>
          <w:sz w:val="22"/>
          <w:szCs w:val="22"/>
          <w:lang w:eastAsia="en-US"/>
        </w:rPr>
      </w:pPr>
      <w:r>
        <w:rPr>
          <w:rFonts w:eastAsiaTheme="minorEastAsia"/>
          <w:color w:val="000000"/>
          <w:sz w:val="22"/>
          <w:szCs w:val="22"/>
          <w:lang w:eastAsia="en-US"/>
        </w:rPr>
        <w:t>Tal responsabilidade será exigida independentemente da existência de garantia contratual específica, e abrange, além da reparação dos danos materiais, eventuais custos com serviços necessários à correção dos vícios, sendo vedada qualquer cláusula excludente dessa obrigação.</w:t>
      </w:r>
    </w:p>
    <w:p w14:paraId="4B3E9338">
      <w:pPr>
        <w:pStyle w:val="10"/>
        <w:spacing w:before="0" w:beforeAutospacing="0" w:after="0" w:afterAutospacing="0"/>
        <w:jc w:val="both"/>
        <w:rPr>
          <w:rFonts w:eastAsiaTheme="minorEastAsia"/>
          <w:color w:val="000000"/>
          <w:sz w:val="22"/>
          <w:szCs w:val="22"/>
          <w:lang w:eastAsia="en-US"/>
        </w:rPr>
      </w:pPr>
      <w:r>
        <w:rPr>
          <w:rFonts w:eastAsiaTheme="minorEastAsia"/>
          <w:color w:val="000000"/>
          <w:sz w:val="22"/>
          <w:szCs w:val="22"/>
          <w:lang w:eastAsia="en-US"/>
        </w:rPr>
        <w:t>A contratada também está sujeita às sanções legais e administrativas aplicáveis em caso de omissão, negligência, erro técnico ou má execução da obra, conforme a Lei nº 14.133/2021, as normas do CREA/CAU, o Código de Ética Profissional e demais normativos correlatos.</w:t>
      </w:r>
    </w:p>
    <w:p w14:paraId="439E1A21">
      <w:pPr>
        <w:pStyle w:val="10"/>
        <w:spacing w:before="0" w:beforeAutospacing="0" w:after="0" w:afterAutospacing="0"/>
        <w:jc w:val="both"/>
        <w:rPr>
          <w:rFonts w:eastAsiaTheme="minorEastAsia"/>
          <w:color w:val="000000"/>
          <w:sz w:val="22"/>
          <w:szCs w:val="22"/>
          <w:lang w:eastAsia="en-US"/>
        </w:rPr>
      </w:pPr>
    </w:p>
    <w:p w14:paraId="121F8B76">
      <w:pPr>
        <w:pStyle w:val="10"/>
        <w:spacing w:before="0" w:beforeAutospacing="0" w:after="0" w:afterAutospacing="0"/>
        <w:jc w:val="both"/>
        <w:rPr>
          <w:rFonts w:hint="default" w:eastAsiaTheme="minorEastAsia"/>
          <w:i/>
          <w:iCs/>
          <w:color w:val="000000"/>
          <w:sz w:val="22"/>
          <w:szCs w:val="22"/>
          <w:lang w:val="pt-BR" w:eastAsia="en-US"/>
        </w:rPr>
      </w:pPr>
      <w:r>
        <w:rPr>
          <w:rFonts w:hint="default" w:ascii="Arial" w:hAnsi="Arial" w:eastAsia="SimSun" w:cs="Arial"/>
          <w:i/>
          <w:iCs/>
          <w:caps w:val="0"/>
          <w:color w:val="000000"/>
          <w:spacing w:val="0"/>
          <w:sz w:val="19"/>
          <w:szCs w:val="19"/>
          <w:lang w:val="pt-BR"/>
        </w:rPr>
        <w:t>Art. 140 da Lei 14.133/2021 “</w:t>
      </w:r>
      <w:r>
        <w:rPr>
          <w:rFonts w:ascii="Arial" w:hAnsi="Arial" w:eastAsia="SimSun" w:cs="Arial"/>
          <w:i/>
          <w:iCs/>
          <w:caps w:val="0"/>
          <w:color w:val="000000"/>
          <w:spacing w:val="0"/>
          <w:sz w:val="19"/>
          <w:szCs w:val="19"/>
        </w:rPr>
        <w:t>§ 6º Em se tratando de obra, o recebimento definitivo pela Administração não eximirá o contratado, pelo prazo mínimo de 5 (cinco) anos, admitida a previsão de prazo de garantia superior no edital e no contrato, da responsabilidade objetiva pela solidez e pela segurança dos materiais e dos serviços executados e pela funcionalidade da construção, da reforma, da recuperação ou da ampliação do bem imóvel, e, em caso de vício, defeito ou incorreção identificados, o contratado ficará responsável pela reparação, pela correção, pela reconstrução ou pela substituição necessárias.</w:t>
      </w:r>
      <w:r>
        <w:rPr>
          <w:rFonts w:hint="default" w:ascii="Arial" w:hAnsi="Arial" w:eastAsia="SimSun" w:cs="Arial"/>
          <w:i/>
          <w:iCs/>
          <w:caps w:val="0"/>
          <w:color w:val="000000"/>
          <w:spacing w:val="0"/>
          <w:sz w:val="19"/>
          <w:szCs w:val="19"/>
          <w:lang w:val="pt-BR"/>
        </w:rPr>
        <w:t>”</w:t>
      </w:r>
    </w:p>
    <w:p w14:paraId="5CE36FC4">
      <w:pPr>
        <w:pStyle w:val="10"/>
        <w:spacing w:before="0" w:beforeAutospacing="0" w:after="0" w:afterAutospacing="0"/>
        <w:jc w:val="both"/>
        <w:rPr>
          <w:b/>
          <w:bCs/>
          <w:sz w:val="22"/>
          <w:szCs w:val="22"/>
        </w:rPr>
      </w:pPr>
    </w:p>
    <w:p w14:paraId="27E4FF19">
      <w:pPr>
        <w:pStyle w:val="10"/>
        <w:spacing w:before="0" w:beforeAutospacing="0" w:after="0" w:afterAutospacing="0"/>
        <w:jc w:val="both"/>
        <w:rPr>
          <w:b/>
          <w:bCs/>
          <w:sz w:val="22"/>
          <w:szCs w:val="22"/>
        </w:rPr>
      </w:pPr>
      <w:r>
        <w:rPr>
          <w:b/>
          <w:bCs/>
          <w:sz w:val="22"/>
          <w:szCs w:val="22"/>
        </w:rPr>
        <w:t xml:space="preserve">8. GARANTIA, MANUTENÇÃO E ASSISTÊNCIA TÉCNICA: </w:t>
      </w:r>
    </w:p>
    <w:p w14:paraId="171B1BDB">
      <w:pPr>
        <w:pStyle w:val="10"/>
        <w:spacing w:before="0" w:beforeAutospacing="0" w:after="0" w:afterAutospacing="0"/>
        <w:jc w:val="both"/>
        <w:rPr>
          <w:b/>
          <w:bCs/>
          <w:sz w:val="22"/>
          <w:szCs w:val="22"/>
        </w:rPr>
      </w:pPr>
    </w:p>
    <w:p w14:paraId="3143522C">
      <w:pPr>
        <w:jc w:val="both"/>
        <w:rPr>
          <w:rFonts w:hint="default"/>
          <w:bCs/>
          <w:sz w:val="22"/>
          <w:szCs w:val="22"/>
        </w:rPr>
      </w:pPr>
      <w:r>
        <w:rPr>
          <w:rFonts w:eastAsiaTheme="minorEastAsia"/>
          <w:color w:val="000000"/>
          <w:sz w:val="22"/>
          <w:szCs w:val="22"/>
          <w:lang w:eastAsia="en-US"/>
        </w:rPr>
        <w:tab/>
      </w:r>
      <w:r>
        <w:rPr>
          <w:rFonts w:hint="default"/>
          <w:bCs/>
          <w:sz w:val="22"/>
          <w:szCs w:val="22"/>
        </w:rPr>
        <w:t>Considerando a natureza do objeto, que envolve a execução de obra de engenharia, serão aplicadas as garantias previstas na legislação vigente, com o objetivo de assegurar o fiel cumprimento das obrigações contratuais, a qualidade da execução e a responsabilidade técnica da contratada após a entrega da obra.</w:t>
      </w:r>
    </w:p>
    <w:p w14:paraId="37453DEB">
      <w:pPr>
        <w:jc w:val="both"/>
        <w:rPr>
          <w:rFonts w:hint="default"/>
          <w:bCs/>
          <w:sz w:val="22"/>
          <w:szCs w:val="22"/>
        </w:rPr>
      </w:pPr>
      <w:r>
        <w:rPr>
          <w:rFonts w:hint="default"/>
          <w:bCs/>
          <w:sz w:val="22"/>
          <w:szCs w:val="22"/>
        </w:rPr>
        <w:t>Adicionalmente, nos termos do art. 59, § 5º da Lei nº 14.133/2021, caso a proposta vencedora seja inferior a 85% do valor estimado pela Administração, será exigida garantia suplementar correspondente à diferença entre esse percentual e o valor efetivamente ofertado, a ser apresentada como condição para assinatura do contrato.</w:t>
      </w:r>
    </w:p>
    <w:p w14:paraId="6F54AB81">
      <w:pPr>
        <w:jc w:val="both"/>
        <w:rPr>
          <w:rFonts w:hint="default"/>
          <w:bCs/>
          <w:sz w:val="22"/>
          <w:szCs w:val="22"/>
        </w:rPr>
      </w:pPr>
      <w:r>
        <w:rPr>
          <w:rFonts w:hint="default"/>
          <w:bCs/>
          <w:sz w:val="22"/>
          <w:szCs w:val="22"/>
        </w:rPr>
        <w:t>Após a conclusão da obra e o recebimento definitivo, a contratada permanecerá responsável, pelo prazo de 5 (cinco) anos, pela solidez, segurança estrutural e eventuais vícios ocultos, conforme previsto no art. 618 do Código Civil. Durante esse período, deverá prestar assistência técnica, realizar correções e promover os reparos necessários, sempre que identificados problemas diretamente relacionados à execução contratual, sem ônus para a Administração.</w:t>
      </w:r>
    </w:p>
    <w:p w14:paraId="654C0B17">
      <w:pPr>
        <w:pStyle w:val="10"/>
        <w:spacing w:before="0" w:beforeAutospacing="0" w:after="0" w:afterAutospacing="0"/>
        <w:jc w:val="both"/>
        <w:rPr>
          <w:sz w:val="22"/>
          <w:szCs w:val="22"/>
        </w:rPr>
      </w:pPr>
    </w:p>
    <w:p w14:paraId="71441C70">
      <w:pPr>
        <w:pStyle w:val="10"/>
        <w:spacing w:before="0" w:beforeAutospacing="0" w:after="0" w:afterAutospacing="0"/>
        <w:jc w:val="both"/>
        <w:rPr>
          <w:b/>
          <w:bCs/>
          <w:sz w:val="22"/>
          <w:szCs w:val="22"/>
        </w:rPr>
      </w:pPr>
      <w:r>
        <w:rPr>
          <w:b/>
          <w:bCs/>
          <w:sz w:val="22"/>
          <w:szCs w:val="22"/>
        </w:rPr>
        <w:t>9. REQUISITOS MÍNIMOS DA CONTRATAÇÃO:</w:t>
      </w:r>
    </w:p>
    <w:p w14:paraId="5D03E288">
      <w:pPr>
        <w:pStyle w:val="10"/>
        <w:spacing w:before="0" w:beforeAutospacing="0" w:after="0" w:afterAutospacing="0"/>
        <w:jc w:val="both"/>
        <w:rPr>
          <w:b/>
          <w:bCs/>
          <w:sz w:val="22"/>
          <w:szCs w:val="22"/>
        </w:rPr>
      </w:pPr>
    </w:p>
    <w:p w14:paraId="48B962E2">
      <w:pPr>
        <w:pStyle w:val="34"/>
        <w:tabs>
          <w:tab w:val="clear" w:pos="708"/>
        </w:tabs>
        <w:spacing w:after="0" w:line="240" w:lineRule="auto"/>
        <w:ind w:left="567"/>
        <w:jc w:val="both"/>
        <w:rPr>
          <w:rFonts w:hint="default"/>
          <w:sz w:val="22"/>
          <w:szCs w:val="22"/>
        </w:rPr>
      </w:pPr>
      <w:bookmarkStart w:id="2" w:name="_Hlk168663430"/>
      <w:r>
        <w:rPr>
          <w:rFonts w:hint="default"/>
          <w:sz w:val="22"/>
          <w:szCs w:val="22"/>
        </w:rPr>
        <w:t>9.1 – Amostra ou Prova de Conceito:</w:t>
      </w:r>
    </w:p>
    <w:p w14:paraId="3D92A155">
      <w:pPr>
        <w:pStyle w:val="34"/>
        <w:tabs>
          <w:tab w:val="clear" w:pos="708"/>
        </w:tabs>
        <w:spacing w:after="0" w:line="240" w:lineRule="auto"/>
        <w:ind w:left="567"/>
        <w:jc w:val="both"/>
        <w:rPr>
          <w:rFonts w:hint="default"/>
          <w:sz w:val="22"/>
          <w:szCs w:val="22"/>
        </w:rPr>
      </w:pPr>
      <w:r>
        <w:rPr>
          <w:rFonts w:hint="default"/>
          <w:sz w:val="22"/>
          <w:szCs w:val="22"/>
        </w:rPr>
        <w:t>Não será exigida amostra, protótipo ou prova de conceito.</w:t>
      </w:r>
    </w:p>
    <w:p w14:paraId="60A664F9">
      <w:pPr>
        <w:pStyle w:val="34"/>
        <w:tabs>
          <w:tab w:val="clear" w:pos="708"/>
        </w:tabs>
        <w:spacing w:after="0" w:line="240" w:lineRule="auto"/>
        <w:ind w:left="567"/>
        <w:jc w:val="both"/>
        <w:rPr>
          <w:rFonts w:hint="default"/>
          <w:sz w:val="22"/>
          <w:szCs w:val="22"/>
        </w:rPr>
      </w:pPr>
      <w:r>
        <w:rPr>
          <w:rFonts w:hint="default"/>
          <w:sz w:val="22"/>
          <w:szCs w:val="22"/>
        </w:rPr>
        <w:t>A obra objeto desta contratação trata da execução de edificação escolar com projeto previamente aprovado, padronizado pelo FNDE, o qual já prevê materiais, métodos executivos e padrões técnicos compatíveis com as normas brasileiras. Considerando a natureza do objeto, não há previsão de fornecimento de bens isolados ou soluções inovadoras que demandem teste de conformidade prévio.</w:t>
      </w:r>
    </w:p>
    <w:p w14:paraId="15EA409B">
      <w:pPr>
        <w:pStyle w:val="34"/>
        <w:tabs>
          <w:tab w:val="clear" w:pos="708"/>
        </w:tabs>
        <w:spacing w:after="0" w:line="240" w:lineRule="auto"/>
        <w:ind w:left="567"/>
        <w:jc w:val="both"/>
        <w:rPr>
          <w:rFonts w:hint="default"/>
          <w:sz w:val="22"/>
          <w:szCs w:val="22"/>
        </w:rPr>
      </w:pPr>
      <w:r>
        <w:rPr>
          <w:rFonts w:hint="default"/>
          <w:sz w:val="22"/>
          <w:szCs w:val="22"/>
        </w:rPr>
        <w:t>(Art. 17, §3º; Art. 41, II; e Art. 42, §2º da Lei nº 14.133/2021).</w:t>
      </w:r>
    </w:p>
    <w:p w14:paraId="4940892B">
      <w:pPr>
        <w:pStyle w:val="34"/>
        <w:tabs>
          <w:tab w:val="clear" w:pos="708"/>
        </w:tabs>
        <w:spacing w:after="0" w:line="240" w:lineRule="auto"/>
        <w:ind w:left="567"/>
        <w:jc w:val="both"/>
        <w:rPr>
          <w:rFonts w:hint="default"/>
          <w:sz w:val="22"/>
          <w:szCs w:val="22"/>
        </w:rPr>
      </w:pPr>
    </w:p>
    <w:p w14:paraId="622661B5">
      <w:pPr>
        <w:pStyle w:val="34"/>
        <w:tabs>
          <w:tab w:val="clear" w:pos="708"/>
        </w:tabs>
        <w:spacing w:after="0" w:line="240" w:lineRule="auto"/>
        <w:ind w:left="567"/>
        <w:jc w:val="both"/>
        <w:rPr>
          <w:rFonts w:hint="default"/>
          <w:sz w:val="22"/>
          <w:szCs w:val="22"/>
          <w:lang w:val="pt-BR"/>
        </w:rPr>
      </w:pPr>
      <w:r>
        <w:rPr>
          <w:rFonts w:hint="default"/>
          <w:sz w:val="22"/>
          <w:szCs w:val="22"/>
        </w:rPr>
        <w:t>9.2 – Qualificação Técnica</w:t>
      </w:r>
      <w:r>
        <w:rPr>
          <w:rFonts w:hint="default"/>
          <w:sz w:val="22"/>
          <w:szCs w:val="22"/>
          <w:lang w:val="pt-BR"/>
        </w:rPr>
        <w:t xml:space="preserve"> Profissional e Operacional</w:t>
      </w:r>
    </w:p>
    <w:p w14:paraId="20A4543F">
      <w:pPr>
        <w:pStyle w:val="34"/>
        <w:tabs>
          <w:tab w:val="clear" w:pos="708"/>
        </w:tabs>
        <w:spacing w:after="0" w:line="240" w:lineRule="auto"/>
        <w:ind w:left="567"/>
        <w:jc w:val="both"/>
        <w:rPr>
          <w:rFonts w:hint="default"/>
          <w:sz w:val="22"/>
          <w:szCs w:val="22"/>
        </w:rPr>
      </w:pPr>
      <w:r>
        <w:rPr>
          <w:rFonts w:hint="default"/>
          <w:sz w:val="22"/>
          <w:szCs w:val="22"/>
        </w:rPr>
        <w:t>A licitante deverá apresentar, obrigatoriamente:</w:t>
      </w:r>
    </w:p>
    <w:p w14:paraId="329627E3">
      <w:pPr>
        <w:pStyle w:val="34"/>
        <w:tabs>
          <w:tab w:val="clear" w:pos="708"/>
        </w:tabs>
        <w:spacing w:after="0" w:line="240" w:lineRule="auto"/>
        <w:ind w:left="567"/>
        <w:jc w:val="both"/>
        <w:rPr>
          <w:rFonts w:hint="default"/>
          <w:sz w:val="22"/>
          <w:szCs w:val="22"/>
        </w:rPr>
      </w:pPr>
    </w:p>
    <w:p w14:paraId="5F665B7F">
      <w:pPr>
        <w:pStyle w:val="34"/>
        <w:tabs>
          <w:tab w:val="clear" w:pos="708"/>
        </w:tabs>
        <w:spacing w:after="0" w:line="240" w:lineRule="auto"/>
        <w:ind w:left="567"/>
        <w:jc w:val="both"/>
        <w:rPr>
          <w:rFonts w:hint="default"/>
          <w:sz w:val="22"/>
          <w:szCs w:val="22"/>
        </w:rPr>
      </w:pPr>
      <w:r>
        <w:rPr>
          <w:rFonts w:hint="default"/>
          <w:sz w:val="22"/>
          <w:szCs w:val="22"/>
        </w:rPr>
        <w:t>Para fins de habilitação, deverão ser exigidos os seguintes documentos:</w:t>
      </w:r>
    </w:p>
    <w:p w14:paraId="6BDF4B89">
      <w:pPr>
        <w:pStyle w:val="10"/>
        <w:keepNext w:val="0"/>
        <w:keepLines w:val="0"/>
        <w:widowControl/>
        <w:suppressLineNumbers w:val="0"/>
        <w:rPr>
          <w:sz w:val="22"/>
          <w:szCs w:val="22"/>
        </w:rPr>
      </w:pPr>
      <w:r>
        <w:rPr>
          <w:rStyle w:val="7"/>
          <w:sz w:val="22"/>
          <w:szCs w:val="22"/>
        </w:rPr>
        <w:t>a) Registro em Conselho de Classe</w:t>
      </w:r>
    </w:p>
    <w:p w14:paraId="3DEE327C">
      <w:pPr>
        <w:pStyle w:val="10"/>
        <w:keepNext w:val="0"/>
        <w:keepLines w:val="0"/>
        <w:widowControl/>
        <w:suppressLineNumbers w:val="0"/>
        <w:ind w:left="720"/>
        <w:rPr>
          <w:sz w:val="22"/>
          <w:szCs w:val="22"/>
        </w:rPr>
      </w:pPr>
      <w:r>
        <w:rPr>
          <w:sz w:val="22"/>
          <w:szCs w:val="22"/>
        </w:rPr>
        <w:t>Comprovação de registro ou inscrição ativa no Conselho Regional de Engenharia e Agronomia (CREA)</w:t>
      </w:r>
      <w:r>
        <w:rPr>
          <w:rFonts w:hint="default"/>
          <w:sz w:val="22"/>
          <w:szCs w:val="22"/>
          <w:lang w:val="pt-BR"/>
        </w:rPr>
        <w:t xml:space="preserve"> ou Conselho de Arquitetura e Urbanismo (CAU)</w:t>
      </w:r>
      <w:r>
        <w:rPr>
          <w:sz w:val="22"/>
          <w:szCs w:val="22"/>
        </w:rPr>
        <w:t>, conforme a natureza das atividades;</w:t>
      </w:r>
    </w:p>
    <w:p w14:paraId="434A7C9F">
      <w:pPr>
        <w:pStyle w:val="10"/>
        <w:keepNext w:val="0"/>
        <w:keepLines w:val="0"/>
        <w:widowControl/>
        <w:suppressLineNumbers w:val="0"/>
        <w:ind w:left="720"/>
        <w:rPr>
          <w:sz w:val="22"/>
          <w:szCs w:val="22"/>
        </w:rPr>
      </w:pPr>
      <w:r>
        <w:rPr>
          <w:sz w:val="22"/>
          <w:szCs w:val="22"/>
        </w:rPr>
        <w:t>Registro atualizado do(s) profissional(is) responsável(eis) técnico(s) junto ao respectivo conselho profissional.</w:t>
      </w:r>
    </w:p>
    <w:p w14:paraId="748F9DC6">
      <w:pPr>
        <w:pStyle w:val="10"/>
        <w:keepNext w:val="0"/>
        <w:keepLines w:val="0"/>
        <w:widowControl/>
        <w:suppressLineNumbers w:val="0"/>
        <w:rPr>
          <w:rFonts w:hint="default"/>
          <w:sz w:val="22"/>
          <w:szCs w:val="22"/>
          <w:lang w:val="pt-BR"/>
        </w:rPr>
      </w:pPr>
      <w:r>
        <w:rPr>
          <w:rStyle w:val="7"/>
          <w:sz w:val="22"/>
          <w:szCs w:val="22"/>
        </w:rPr>
        <w:t>b) Qualificação Técnico-Operacional</w:t>
      </w:r>
      <w:r>
        <w:rPr>
          <w:rStyle w:val="7"/>
          <w:rFonts w:hint="default"/>
          <w:sz w:val="22"/>
          <w:szCs w:val="22"/>
          <w:lang w:val="pt-BR"/>
        </w:rPr>
        <w:t xml:space="preserve"> e </w:t>
      </w:r>
      <w:r>
        <w:rPr>
          <w:rStyle w:val="7"/>
          <w:sz w:val="22"/>
          <w:szCs w:val="22"/>
        </w:rPr>
        <w:t>Qualificação Técnico-Profissional</w:t>
      </w:r>
    </w:p>
    <w:p w14:paraId="0B1DD6E7">
      <w:pPr>
        <w:pStyle w:val="10"/>
        <w:keepNext w:val="0"/>
        <w:keepLines w:val="0"/>
        <w:widowControl/>
        <w:suppressLineNumbers w:val="0"/>
        <w:rPr>
          <w:rFonts w:hint="default" w:ascii="Times New Roman" w:hAnsi="Times New Roman" w:eastAsia="Times New Roman" w:cs="Times New Roman"/>
          <w:sz w:val="22"/>
          <w:szCs w:val="22"/>
        </w:rPr>
      </w:pPr>
      <w:r>
        <w:rPr>
          <w:rFonts w:hint="default" w:ascii="Times New Roman" w:hAnsi="Times New Roman" w:eastAsia="Times New Roman" w:cs="Times New Roman"/>
          <w:sz w:val="22"/>
          <w:szCs w:val="22"/>
        </w:rPr>
        <w:t>A documentação relativa à qualificação técnico-profissional e operacional será restrita a:</w:t>
      </w:r>
    </w:p>
    <w:p w14:paraId="685DDE27">
      <w:pPr>
        <w:pStyle w:val="10"/>
        <w:keepNext w:val="0"/>
        <w:keepLines w:val="0"/>
        <w:widowControl/>
        <w:numPr>
          <w:ilvl w:val="0"/>
          <w:numId w:val="11"/>
        </w:numPr>
        <w:suppressLineNumbers w:val="0"/>
        <w:ind w:left="425" w:leftChars="0" w:hanging="425" w:firstLineChars="0"/>
        <w:rPr>
          <w:rFonts w:hint="default" w:ascii="Times New Roman" w:hAnsi="Times New Roman" w:eastAsia="Times New Roman" w:cs="Times New Roman"/>
          <w:sz w:val="22"/>
          <w:szCs w:val="22"/>
        </w:rPr>
      </w:pPr>
      <w:r>
        <w:rPr>
          <w:rFonts w:hint="default" w:ascii="Times New Roman" w:hAnsi="Times New Roman" w:eastAsia="Times New Roman" w:cs="Times New Roman"/>
          <w:sz w:val="22"/>
          <w:szCs w:val="22"/>
        </w:rPr>
        <w:t xml:space="preserve">Apresentação de profissional devidamente registrado no conselho profissional competente </w:t>
      </w:r>
      <w:r>
        <w:rPr>
          <w:rFonts w:hint="default" w:ascii="Times New Roman" w:hAnsi="Times New Roman" w:eastAsia="Times New Roman" w:cs="Times New Roman"/>
          <w:sz w:val="22"/>
          <w:szCs w:val="22"/>
          <w:lang w:val="pt-BR"/>
        </w:rPr>
        <w:t>CREA</w:t>
      </w:r>
      <w:r>
        <w:rPr>
          <w:rFonts w:hint="default" w:ascii="Times New Roman" w:hAnsi="Times New Roman" w:eastAsia="Times New Roman" w:cs="Times New Roman"/>
          <w:sz w:val="22"/>
          <w:szCs w:val="22"/>
        </w:rPr>
        <w:t xml:space="preserve"> </w:t>
      </w:r>
      <w:r>
        <w:rPr>
          <w:rFonts w:hint="default" w:cs="Times New Roman"/>
          <w:sz w:val="22"/>
          <w:szCs w:val="22"/>
          <w:lang w:val="pt-BR"/>
        </w:rPr>
        <w:t>ou CAU;</w:t>
      </w:r>
    </w:p>
    <w:p w14:paraId="67C6C409">
      <w:pPr>
        <w:pStyle w:val="10"/>
        <w:keepNext w:val="0"/>
        <w:keepLines w:val="0"/>
        <w:widowControl/>
        <w:numPr>
          <w:ilvl w:val="0"/>
          <w:numId w:val="11"/>
        </w:numPr>
        <w:suppressLineNumbers w:val="0"/>
        <w:ind w:left="425" w:leftChars="0" w:hanging="425" w:firstLineChars="0"/>
        <w:rPr>
          <w:rFonts w:hint="default" w:ascii="Times New Roman" w:hAnsi="Times New Roman" w:eastAsia="Times New Roman" w:cs="Times New Roman"/>
          <w:sz w:val="22"/>
          <w:szCs w:val="22"/>
        </w:rPr>
      </w:pPr>
      <w:r>
        <w:rPr>
          <w:rFonts w:hint="default" w:ascii="Times New Roman" w:hAnsi="Times New Roman" w:eastAsia="Times New Roman" w:cs="Times New Roman"/>
          <w:sz w:val="22"/>
          <w:szCs w:val="22"/>
        </w:rPr>
        <w:t>Os profissionais indicados pelo licitante deverão participar da obra ou serviço objeto da licitação, sendo admitida sua substituição por profissionais de experiência equivalente ou superior, desde que aprovada pela Administração.</w:t>
      </w:r>
    </w:p>
    <w:p w14:paraId="288EF05E">
      <w:pPr>
        <w:pStyle w:val="10"/>
        <w:keepNext w:val="0"/>
        <w:keepLines w:val="0"/>
        <w:widowControl/>
        <w:numPr>
          <w:ilvl w:val="0"/>
          <w:numId w:val="11"/>
        </w:numPr>
        <w:suppressLineNumbers w:val="0"/>
        <w:ind w:left="425" w:leftChars="0" w:hanging="425" w:firstLineChars="0"/>
        <w:rPr>
          <w:rFonts w:hint="default" w:ascii="Times New Roman" w:hAnsi="Times New Roman" w:eastAsia="Times New Roman" w:cs="Times New Roman"/>
          <w:sz w:val="22"/>
          <w:szCs w:val="22"/>
        </w:rPr>
      </w:pPr>
      <w:r>
        <w:rPr>
          <w:rFonts w:hint="default" w:cs="Times New Roman"/>
          <w:sz w:val="22"/>
          <w:szCs w:val="22"/>
          <w:lang w:val="pt-BR"/>
        </w:rPr>
        <w:t xml:space="preserve"> </w:t>
      </w:r>
      <w:r>
        <w:rPr>
          <w:rFonts w:hint="default"/>
          <w:sz w:val="22"/>
          <w:szCs w:val="22"/>
        </w:rPr>
        <w:t>Declaração conforme art. 67, VI da Lei 14.133/21, de que tomou conhecimento de todas as informações e das condições locais para o cumprimento das obrigações objeto da licitação.</w:t>
      </w:r>
    </w:p>
    <w:p w14:paraId="3EE8CF25">
      <w:pPr>
        <w:pStyle w:val="10"/>
        <w:keepNext w:val="0"/>
        <w:keepLines w:val="0"/>
        <w:widowControl/>
        <w:numPr>
          <w:ilvl w:val="0"/>
          <w:numId w:val="11"/>
        </w:numPr>
        <w:suppressLineNumbers w:val="0"/>
        <w:ind w:left="425" w:leftChars="0" w:hanging="425" w:firstLineChars="0"/>
        <w:rPr>
          <w:rFonts w:hint="default" w:ascii="Times New Roman" w:hAnsi="Times New Roman" w:eastAsia="Times New Roman" w:cs="Times New Roman"/>
          <w:sz w:val="22"/>
          <w:szCs w:val="22"/>
        </w:rPr>
      </w:pPr>
      <w:r>
        <w:rPr>
          <w:rFonts w:hint="default"/>
          <w:sz w:val="22"/>
          <w:szCs w:val="22"/>
        </w:rPr>
        <w:t>Qualificação técnica profissional e operacional, incluindo:</w:t>
      </w:r>
    </w:p>
    <w:p w14:paraId="002D4602">
      <w:pPr>
        <w:pStyle w:val="10"/>
        <w:keepNext w:val="0"/>
        <w:keepLines w:val="0"/>
        <w:widowControl/>
        <w:numPr>
          <w:ilvl w:val="0"/>
          <w:numId w:val="11"/>
        </w:numPr>
        <w:suppressLineNumbers w:val="0"/>
        <w:ind w:left="425" w:leftChars="0" w:hanging="425" w:firstLineChars="0"/>
        <w:rPr>
          <w:rFonts w:hint="default" w:ascii="Times New Roman" w:hAnsi="Times New Roman" w:eastAsia="Times New Roman" w:cs="Times New Roman"/>
          <w:sz w:val="22"/>
          <w:szCs w:val="22"/>
        </w:rPr>
      </w:pPr>
      <w:r>
        <w:rPr>
          <w:rFonts w:hint="default" w:ascii="Times New Roman" w:hAnsi="Times New Roman" w:eastAsia="Times New Roman" w:cs="Times New Roman"/>
          <w:sz w:val="22"/>
          <w:szCs w:val="22"/>
        </w:rPr>
        <w:t>A exigência da certidão de acervo técnico- CAT emitida pelo CREA, será restrita às parcelas de maior relevância ou valor significativo do objeto da licitação, assim consideradas as que tenham valor individual igual ou superior a 4% (quatro por cento) do valor total estimado da contratação</w:t>
      </w:r>
      <w:r>
        <w:rPr>
          <w:rFonts w:hint="default" w:ascii="Times New Roman" w:hAnsi="Times New Roman" w:eastAsia="Times New Roman" w:cs="Times New Roman"/>
          <w:sz w:val="22"/>
          <w:szCs w:val="22"/>
          <w:lang w:val="pt-BR"/>
        </w:rPr>
        <w:t xml:space="preserve">. </w:t>
      </w:r>
      <w:r>
        <w:rPr>
          <w:rFonts w:hint="default" w:ascii="Times New Roman" w:hAnsi="Times New Roman" w:eastAsia="Times New Roman" w:cs="Times New Roman"/>
          <w:sz w:val="22"/>
          <w:szCs w:val="22"/>
        </w:rPr>
        <w:t>Nos termos do §3º do mesmo artigo, e tratando-se de obra de engenharia, a Administração exigirá atestado(s) de capacidade técnica que demonstrem experiência compatível com o objeto, mesmo quando as parcelas não atinjam individualmente o percentual de 4%, com a devida justificativa técnica constante nos autos.</w:t>
      </w:r>
    </w:p>
    <w:p w14:paraId="79E8962E">
      <w:pPr>
        <w:pStyle w:val="19"/>
        <w:numPr>
          <w:ilvl w:val="0"/>
          <w:numId w:val="12"/>
        </w:numPr>
        <w:spacing w:line="360" w:lineRule="auto"/>
        <w:jc w:val="both"/>
        <w:rPr>
          <w:rFonts w:hint="default" w:ascii="Arial" w:hAnsi="Arial" w:cs="Arial"/>
          <w:b/>
          <w:bCs/>
          <w:color w:val="000000" w:themeColor="text1"/>
          <w:sz w:val="20"/>
          <w:szCs w:val="20"/>
          <w:highlight w:val="none"/>
          <w14:textFill>
            <w14:solidFill>
              <w14:schemeClr w14:val="tx1"/>
            </w14:solidFill>
          </w14:textFill>
        </w:rPr>
      </w:pPr>
      <w:r>
        <w:rPr>
          <w:rFonts w:hint="default" w:ascii="Arial" w:hAnsi="Arial" w:cs="Arial"/>
          <w:b/>
          <w:bCs/>
          <w:color w:val="000000" w:themeColor="text1"/>
          <w:sz w:val="20"/>
          <w:szCs w:val="20"/>
          <w:highlight w:val="none"/>
          <w14:textFill>
            <w14:solidFill>
              <w14:schemeClr w14:val="tx1"/>
            </w14:solidFill>
          </w14:textFill>
        </w:rPr>
        <w:t xml:space="preserve">Seguem abaixo os Itens de maior Relevância </w:t>
      </w:r>
      <w:r>
        <w:rPr>
          <w:rFonts w:hint="default" w:ascii="Arial" w:hAnsi="Arial" w:cs="Arial"/>
          <w:b/>
          <w:bCs/>
          <w:color w:val="000000" w:themeColor="text1"/>
          <w:sz w:val="20"/>
          <w:szCs w:val="20"/>
          <w:highlight w:val="none"/>
          <w:lang w:val="pt-BR"/>
          <w14:textFill>
            <w14:solidFill>
              <w14:schemeClr w14:val="tx1"/>
            </w14:solidFill>
          </w14:textFill>
        </w:rPr>
        <w:t xml:space="preserve">e suas respectivas justificativas de escolha, </w:t>
      </w:r>
      <w:r>
        <w:rPr>
          <w:rFonts w:hint="default" w:ascii="Arial" w:hAnsi="Arial" w:cs="Arial"/>
          <w:b/>
          <w:bCs/>
          <w:color w:val="000000" w:themeColor="text1"/>
          <w:sz w:val="20"/>
          <w:szCs w:val="20"/>
          <w:highlight w:val="none"/>
          <w14:textFill>
            <w14:solidFill>
              <w14:schemeClr w14:val="tx1"/>
            </w14:solidFill>
          </w14:textFill>
        </w:rPr>
        <w:t xml:space="preserve">restringindo a quantidades de </w:t>
      </w:r>
      <w:r>
        <w:rPr>
          <w:rFonts w:hint="default" w:ascii="Arial" w:hAnsi="Arial" w:cs="Arial"/>
          <w:b/>
          <w:bCs/>
          <w:color w:val="000000" w:themeColor="text1"/>
          <w:sz w:val="20"/>
          <w:szCs w:val="20"/>
          <w:highlight w:val="none"/>
          <w:lang w:val="pt-BR"/>
          <w14:textFill>
            <w14:solidFill>
              <w14:schemeClr w14:val="tx1"/>
            </w14:solidFill>
          </w14:textFill>
        </w:rPr>
        <w:t>2</w:t>
      </w:r>
      <w:r>
        <w:rPr>
          <w:rFonts w:hint="default" w:ascii="Arial" w:hAnsi="Arial" w:cs="Arial"/>
          <w:b/>
          <w:bCs/>
          <w:color w:val="000000" w:themeColor="text1"/>
          <w:sz w:val="20"/>
          <w:szCs w:val="20"/>
          <w:highlight w:val="none"/>
          <w14:textFill>
            <w14:solidFill>
              <w14:schemeClr w14:val="tx1"/>
            </w14:solidFill>
          </w14:textFill>
        </w:rPr>
        <w:t>0% das quantidades previstas destes itens na planilha de especificação de custos.</w:t>
      </w:r>
    </w:p>
    <w:p w14:paraId="3155D917">
      <w:pPr>
        <w:pStyle w:val="10"/>
        <w:keepNext w:val="0"/>
        <w:keepLines w:val="0"/>
        <w:widowControl/>
        <w:suppressLineNumbers w:val="0"/>
        <w:rPr>
          <w:rFonts w:hint="default" w:ascii="Arial" w:hAnsi="Arial"/>
          <w:b/>
          <w:bCs/>
          <w:sz w:val="20"/>
          <w:szCs w:val="20"/>
          <w:highlight w:val="none"/>
          <w:lang w:val="pt-BR"/>
        </w:rPr>
      </w:pPr>
      <w:r>
        <w:rPr>
          <w:rFonts w:hint="default" w:ascii="Arial" w:hAnsi="Arial"/>
          <w:b/>
          <w:bCs/>
          <w:sz w:val="20"/>
          <w:szCs w:val="20"/>
          <w:highlight w:val="none"/>
          <w:lang w:val="pt-BR"/>
        </w:rPr>
        <w:t>3.1 - FNDE 607 – ESTRUTURA TRELIÇADA DE COBERTURA, INCLUSOS PERFIS METÁLICOS, CHAPA METÁLICAS, MÃO DE OBRA E TRANSPORTE COM GUINDASTE - FORNECIMENTO E INSTALAÇÃO</w:t>
      </w:r>
      <w:r>
        <w:rPr>
          <w:rFonts w:hint="default" w:ascii="Arial" w:hAnsi="Arial"/>
          <w:b w:val="0"/>
          <w:bCs w:val="0"/>
          <w:sz w:val="20"/>
          <w:szCs w:val="20"/>
          <w:highlight w:val="none"/>
          <w:lang w:val="pt-BR"/>
        </w:rPr>
        <w:t xml:space="preserve"> (quantidade mínima = 3.801,20 kg)</w:t>
      </w:r>
    </w:p>
    <w:p w14:paraId="4702DF7D">
      <w:pPr>
        <w:pStyle w:val="10"/>
        <w:keepNext w:val="0"/>
        <w:keepLines w:val="0"/>
        <w:widowControl/>
        <w:suppressLineNumbers w:val="0"/>
        <w:rPr>
          <w:rFonts w:hint="default" w:ascii="Arial" w:hAnsi="Arial"/>
          <w:b/>
          <w:bCs/>
          <w:sz w:val="20"/>
          <w:szCs w:val="20"/>
          <w:highlight w:val="none"/>
          <w:lang w:val="pt-BR"/>
        </w:rPr>
      </w:pPr>
      <w:r>
        <w:rPr>
          <w:rFonts w:hint="default" w:ascii="Arial" w:hAnsi="Arial"/>
          <w:b/>
          <w:bCs/>
          <w:sz w:val="20"/>
          <w:szCs w:val="20"/>
          <w:highlight w:val="none"/>
          <w:lang w:val="pt-BR"/>
        </w:rPr>
        <w:t xml:space="preserve">3.1.1 - SINAPI 100896 - ESTACA ESCAVADA MECANICAMENTE, SEM FLUIDO ESTABILIZANTE, COM 25CM DE DIÂMETRO, CONCRETO LANÇADO POR CAMINHÃO BETONEIRA (EXCLUSIVE MOBILIZAÇÃO E DESMOBILIZAÇÃO). AF_01/2020_PA </w:t>
      </w:r>
      <w:r>
        <w:rPr>
          <w:rFonts w:hint="default" w:ascii="Arial" w:hAnsi="Arial"/>
          <w:b w:val="0"/>
          <w:bCs w:val="0"/>
          <w:sz w:val="20"/>
          <w:szCs w:val="20"/>
          <w:highlight w:val="none"/>
          <w:lang w:val="pt-BR"/>
        </w:rPr>
        <w:t>(quantidade mínima = 260,4 m)</w:t>
      </w:r>
    </w:p>
    <w:p w14:paraId="6A03AB89">
      <w:pPr>
        <w:pStyle w:val="10"/>
        <w:keepNext w:val="0"/>
        <w:keepLines w:val="0"/>
        <w:widowControl/>
        <w:suppressLineNumbers w:val="0"/>
        <w:rPr>
          <w:rFonts w:hint="default" w:ascii="Arial" w:hAnsi="Arial"/>
          <w:b w:val="0"/>
          <w:bCs w:val="0"/>
          <w:sz w:val="20"/>
          <w:szCs w:val="20"/>
          <w:highlight w:val="none"/>
          <w:lang w:val="pt-BR"/>
        </w:rPr>
      </w:pPr>
      <w:r>
        <w:rPr>
          <w:rFonts w:hint="default" w:ascii="Arial" w:hAnsi="Arial"/>
          <w:b/>
          <w:bCs/>
          <w:sz w:val="20"/>
          <w:szCs w:val="20"/>
          <w:highlight w:val="none"/>
          <w:lang w:val="pt-BR"/>
        </w:rPr>
        <w:t>7.1 - FNDE 20 - TELHA TERMOISOLANTE REVESTIDA EM ACO GALVALUME, FACE SUPERIOR TRAPEZOIDAL E FACE INFERIOR PLANA (NAO INCLUI ACESSORIOS DE FIXACAO), REVEST COM ESPESSURA DE 0,50 MM, COM PRE-PINTURA DE COR BRANCA NAS DUAS FACES, NUCLEO EM POLIIOCIANURATO (PIR) COM ESPESSURA DE 50 MM</w:t>
      </w:r>
      <w:r>
        <w:rPr>
          <w:rFonts w:hint="default" w:ascii="Arial" w:hAnsi="Arial"/>
          <w:b w:val="0"/>
          <w:bCs w:val="0"/>
          <w:sz w:val="20"/>
          <w:szCs w:val="20"/>
          <w:highlight w:val="none"/>
          <w:lang w:val="pt-BR"/>
        </w:rPr>
        <w:t xml:space="preserve"> (quantidade mínima = 288,2 m)</w:t>
      </w:r>
    </w:p>
    <w:p w14:paraId="44767584">
      <w:pPr>
        <w:pStyle w:val="10"/>
        <w:keepNext w:val="0"/>
        <w:keepLines w:val="0"/>
        <w:widowControl/>
        <w:suppressLineNumbers w:val="0"/>
        <w:rPr>
          <w:sz w:val="22"/>
          <w:szCs w:val="22"/>
        </w:rPr>
      </w:pPr>
      <w:r>
        <w:rPr>
          <w:rStyle w:val="7"/>
          <w:rFonts w:hint="default"/>
          <w:sz w:val="22"/>
          <w:szCs w:val="22"/>
          <w:lang w:val="pt-BR"/>
        </w:rPr>
        <w:t>c</w:t>
      </w:r>
      <w:r>
        <w:rPr>
          <w:rStyle w:val="7"/>
          <w:sz w:val="22"/>
          <w:szCs w:val="22"/>
        </w:rPr>
        <w:t>) Comprovação de vínculo entre o(s) profissional(is) e a empresa licitante</w:t>
      </w:r>
      <w:r>
        <w:rPr>
          <w:sz w:val="22"/>
          <w:szCs w:val="22"/>
        </w:rPr>
        <w:t>, por meio de um dos seguintes documentos:</w:t>
      </w:r>
    </w:p>
    <w:p w14:paraId="4C89A4A3">
      <w:pPr>
        <w:pStyle w:val="10"/>
        <w:keepNext w:val="0"/>
        <w:keepLines w:val="0"/>
        <w:widowControl/>
        <w:suppressLineNumbers w:val="0"/>
        <w:ind w:left="720"/>
        <w:rPr>
          <w:sz w:val="22"/>
          <w:szCs w:val="22"/>
        </w:rPr>
      </w:pPr>
      <w:r>
        <w:rPr>
          <w:sz w:val="22"/>
          <w:szCs w:val="22"/>
        </w:rPr>
        <w:t>Cópia da CTPS ou ficha de registro de empregado, com a guia de FGTS do mês anterior à publicação do edital;</w:t>
      </w:r>
    </w:p>
    <w:p w14:paraId="448B5183">
      <w:pPr>
        <w:pStyle w:val="10"/>
        <w:keepNext w:val="0"/>
        <w:keepLines w:val="0"/>
        <w:widowControl/>
        <w:suppressLineNumbers w:val="0"/>
        <w:ind w:left="720"/>
        <w:rPr>
          <w:sz w:val="22"/>
          <w:szCs w:val="22"/>
        </w:rPr>
      </w:pPr>
      <w:r>
        <w:rPr>
          <w:sz w:val="22"/>
          <w:szCs w:val="22"/>
        </w:rPr>
        <w:t>Contrato de trabalho registrado em CTPS;</w:t>
      </w:r>
    </w:p>
    <w:p w14:paraId="0BB19354">
      <w:pPr>
        <w:pStyle w:val="10"/>
        <w:keepNext w:val="0"/>
        <w:keepLines w:val="0"/>
        <w:widowControl/>
        <w:suppressLineNumbers w:val="0"/>
        <w:ind w:left="720"/>
        <w:rPr>
          <w:sz w:val="22"/>
          <w:szCs w:val="22"/>
        </w:rPr>
      </w:pPr>
      <w:r>
        <w:rPr>
          <w:sz w:val="22"/>
          <w:szCs w:val="22"/>
        </w:rPr>
        <w:t>Contrato Social, Ato Constitutivo ou Certidão da Junta Comercial, atualizados;</w:t>
      </w:r>
    </w:p>
    <w:p w14:paraId="7A5AB816">
      <w:pPr>
        <w:pStyle w:val="10"/>
        <w:keepNext w:val="0"/>
        <w:keepLines w:val="0"/>
        <w:widowControl/>
        <w:suppressLineNumbers w:val="0"/>
        <w:ind w:left="720"/>
        <w:rPr>
          <w:sz w:val="22"/>
          <w:szCs w:val="22"/>
        </w:rPr>
      </w:pPr>
      <w:r>
        <w:rPr>
          <w:sz w:val="22"/>
          <w:szCs w:val="22"/>
        </w:rPr>
        <w:t>Contrato de prestação de serviços técnicos registrado em Cartório de Títulos e Documentos, com vigência na data da proposta;</w:t>
      </w:r>
    </w:p>
    <w:p w14:paraId="7D08440C">
      <w:pPr>
        <w:pStyle w:val="10"/>
        <w:keepNext w:val="0"/>
        <w:keepLines w:val="0"/>
        <w:widowControl/>
        <w:suppressLineNumbers w:val="0"/>
        <w:ind w:left="720"/>
        <w:rPr>
          <w:sz w:val="22"/>
          <w:szCs w:val="22"/>
        </w:rPr>
      </w:pPr>
      <w:r>
        <w:rPr>
          <w:sz w:val="22"/>
          <w:szCs w:val="22"/>
        </w:rPr>
        <w:t>Documento de qualificação técnica vinculado ao profissional, acompanhado da comprovação de vínculo com a empresa.</w:t>
      </w:r>
    </w:p>
    <w:p w14:paraId="7CB8B6DE">
      <w:pPr>
        <w:pStyle w:val="34"/>
        <w:tabs>
          <w:tab w:val="clear" w:pos="708"/>
        </w:tabs>
        <w:spacing w:after="0" w:line="240" w:lineRule="auto"/>
        <w:ind w:left="567"/>
        <w:jc w:val="both"/>
        <w:rPr>
          <w:rFonts w:hint="default"/>
          <w:b/>
          <w:bCs/>
          <w:sz w:val="22"/>
          <w:szCs w:val="22"/>
        </w:rPr>
      </w:pPr>
      <w:r>
        <w:rPr>
          <w:rFonts w:hint="default"/>
          <w:b/>
          <w:bCs/>
          <w:sz w:val="22"/>
          <w:szCs w:val="22"/>
          <w:lang w:val="pt-BR"/>
        </w:rPr>
        <w:t>d</w:t>
      </w:r>
      <w:r>
        <w:rPr>
          <w:rFonts w:hint="default"/>
          <w:b/>
          <w:bCs/>
          <w:sz w:val="22"/>
          <w:szCs w:val="22"/>
        </w:rPr>
        <w:t>) Regularidade econômico-financeira mediante:</w:t>
      </w:r>
    </w:p>
    <w:p w14:paraId="5881D656">
      <w:pPr>
        <w:pStyle w:val="34"/>
        <w:tabs>
          <w:tab w:val="clear" w:pos="708"/>
        </w:tabs>
        <w:spacing w:after="0" w:line="240" w:lineRule="auto"/>
        <w:ind w:left="567"/>
        <w:jc w:val="both"/>
        <w:rPr>
          <w:rFonts w:hint="default"/>
          <w:sz w:val="22"/>
          <w:szCs w:val="22"/>
        </w:rPr>
      </w:pPr>
    </w:p>
    <w:p w14:paraId="7496AB18">
      <w:pPr>
        <w:pStyle w:val="34"/>
        <w:tabs>
          <w:tab w:val="clear" w:pos="708"/>
        </w:tabs>
        <w:spacing w:after="0" w:line="240" w:lineRule="auto"/>
        <w:ind w:left="567"/>
        <w:jc w:val="both"/>
        <w:rPr>
          <w:rFonts w:hint="default"/>
          <w:sz w:val="22"/>
          <w:szCs w:val="22"/>
          <w:lang w:val="pt-BR"/>
        </w:rPr>
      </w:pPr>
      <w:r>
        <w:rPr>
          <w:rFonts w:hint="default"/>
          <w:sz w:val="22"/>
          <w:szCs w:val="22"/>
          <w:lang w:val="pt-BR"/>
        </w:rPr>
        <w:t>O Capital Social do licitante terá que ser no mínimo 10% (dez por cento) do valor da obra ou do patrimônio líquido, constando nos atos constitutivos da empresa;</w:t>
      </w:r>
    </w:p>
    <w:p w14:paraId="15EE9ECD">
      <w:pPr>
        <w:pStyle w:val="34"/>
        <w:tabs>
          <w:tab w:val="clear" w:pos="708"/>
        </w:tabs>
        <w:spacing w:after="0" w:line="240" w:lineRule="auto"/>
        <w:ind w:left="567"/>
        <w:jc w:val="both"/>
        <w:rPr>
          <w:rFonts w:hint="default"/>
          <w:sz w:val="22"/>
          <w:szCs w:val="22"/>
          <w:lang w:val="pt-BR"/>
        </w:rPr>
      </w:pPr>
    </w:p>
    <w:p w14:paraId="008804C3">
      <w:pPr>
        <w:pStyle w:val="34"/>
        <w:tabs>
          <w:tab w:val="clear" w:pos="708"/>
        </w:tabs>
        <w:spacing w:after="0" w:line="240" w:lineRule="auto"/>
        <w:ind w:left="567"/>
        <w:jc w:val="both"/>
        <w:rPr>
          <w:rFonts w:hint="default"/>
          <w:sz w:val="22"/>
          <w:szCs w:val="22"/>
          <w:lang w:val="pt-BR"/>
        </w:rPr>
      </w:pPr>
      <w:r>
        <w:rPr>
          <w:rFonts w:hint="default"/>
          <w:sz w:val="22"/>
          <w:szCs w:val="22"/>
        </w:rPr>
        <w:t xml:space="preserve">Balanço patrimonial </w:t>
      </w:r>
      <w:r>
        <w:rPr>
          <w:rFonts w:hint="default"/>
          <w:sz w:val="22"/>
          <w:szCs w:val="22"/>
          <w:lang w:val="pt-BR"/>
        </w:rPr>
        <w:t xml:space="preserve"> e demonstrações contábeis dos 02 (dois) últimos exercícios, já exigíveis e apresentados na forma da lei (inclusive o Termo de Abertura e do Termo de Encerramento do Livro Diário), que comprovem a boa situação financeira da empresa, vedada a sua substituição por balancetes ou balanços provisórios, podendo ser atualizados por índices oficiais quando encerrados há mais de 03 (três) meses da data de apresentação da proposta;</w:t>
      </w:r>
    </w:p>
    <w:p w14:paraId="5A18813B">
      <w:pPr>
        <w:pStyle w:val="34"/>
        <w:tabs>
          <w:tab w:val="clear" w:pos="708"/>
        </w:tabs>
        <w:spacing w:after="0" w:line="240" w:lineRule="auto"/>
        <w:ind w:left="567"/>
        <w:jc w:val="both"/>
        <w:rPr>
          <w:rFonts w:hint="default"/>
          <w:sz w:val="22"/>
          <w:szCs w:val="22"/>
        </w:rPr>
      </w:pPr>
    </w:p>
    <w:p w14:paraId="03E6407F">
      <w:pPr>
        <w:pStyle w:val="34"/>
        <w:tabs>
          <w:tab w:val="clear" w:pos="708"/>
        </w:tabs>
        <w:spacing w:after="0" w:line="240" w:lineRule="auto"/>
        <w:ind w:left="567"/>
        <w:jc w:val="both"/>
        <w:rPr>
          <w:rFonts w:hint="default"/>
          <w:sz w:val="22"/>
          <w:szCs w:val="22"/>
        </w:rPr>
      </w:pPr>
      <w:r>
        <w:rPr>
          <w:rFonts w:hint="default"/>
          <w:sz w:val="22"/>
          <w:szCs w:val="22"/>
        </w:rPr>
        <w:t>Índices financeiros: ILC ≥ 1,0; ILG ≥ 1,0; ISG ≥ 1,0;</w:t>
      </w:r>
    </w:p>
    <w:p w14:paraId="338FC24E">
      <w:pPr>
        <w:pStyle w:val="34"/>
        <w:tabs>
          <w:tab w:val="clear" w:pos="708"/>
        </w:tabs>
        <w:spacing w:after="0" w:line="240" w:lineRule="auto"/>
        <w:ind w:left="567"/>
        <w:jc w:val="both"/>
        <w:rPr>
          <w:rFonts w:hint="default"/>
          <w:sz w:val="22"/>
          <w:szCs w:val="22"/>
        </w:rPr>
      </w:pPr>
    </w:p>
    <w:p w14:paraId="471314F3">
      <w:pPr>
        <w:pStyle w:val="34"/>
        <w:tabs>
          <w:tab w:val="clear" w:pos="708"/>
        </w:tabs>
        <w:spacing w:after="0" w:line="240" w:lineRule="auto"/>
        <w:ind w:left="567"/>
        <w:jc w:val="both"/>
        <w:rPr>
          <w:rFonts w:hint="default"/>
          <w:sz w:val="22"/>
          <w:szCs w:val="22"/>
        </w:rPr>
      </w:pPr>
      <w:r>
        <w:rPr>
          <w:rFonts w:hint="default"/>
          <w:sz w:val="22"/>
          <w:szCs w:val="22"/>
        </w:rPr>
        <w:t>Certidões negativas de falência e recuperação judicial ou extrajudicial, emitidas pelos cartórios da sede da licitante;</w:t>
      </w:r>
    </w:p>
    <w:p w14:paraId="3DFC0468">
      <w:pPr>
        <w:pStyle w:val="34"/>
        <w:tabs>
          <w:tab w:val="clear" w:pos="708"/>
        </w:tabs>
        <w:spacing w:after="0" w:line="240" w:lineRule="auto"/>
        <w:ind w:left="567"/>
        <w:jc w:val="both"/>
        <w:rPr>
          <w:rFonts w:hint="default"/>
          <w:sz w:val="22"/>
          <w:szCs w:val="22"/>
        </w:rPr>
      </w:pPr>
    </w:p>
    <w:p w14:paraId="0501DFC6">
      <w:pPr>
        <w:pStyle w:val="34"/>
        <w:tabs>
          <w:tab w:val="clear" w:pos="708"/>
        </w:tabs>
        <w:spacing w:after="0" w:line="240" w:lineRule="auto"/>
        <w:ind w:left="567"/>
        <w:jc w:val="both"/>
        <w:rPr>
          <w:rFonts w:hint="default"/>
          <w:sz w:val="22"/>
          <w:szCs w:val="22"/>
          <w:lang w:val="pt-BR"/>
        </w:rPr>
      </w:pPr>
      <w:r>
        <w:rPr>
          <w:rFonts w:hint="default"/>
          <w:sz w:val="22"/>
          <w:szCs w:val="22"/>
        </w:rPr>
        <w:t xml:space="preserve">Garantia da proposta de 1% do valor estimado do contrato, conforme </w:t>
      </w:r>
      <w:r>
        <w:rPr>
          <w:rFonts w:hint="default"/>
          <w:sz w:val="22"/>
          <w:szCs w:val="22"/>
          <w:lang w:val="pt-BR"/>
        </w:rPr>
        <w:t>artigo 58 da Lei 14.133/2021 e parágrafos.</w:t>
      </w:r>
    </w:p>
    <w:p w14:paraId="33033264">
      <w:pPr>
        <w:pStyle w:val="34"/>
        <w:tabs>
          <w:tab w:val="clear" w:pos="708"/>
        </w:tabs>
        <w:spacing w:after="0" w:line="240" w:lineRule="auto"/>
        <w:jc w:val="both"/>
        <w:rPr>
          <w:rFonts w:hint="default"/>
          <w:sz w:val="22"/>
          <w:szCs w:val="22"/>
        </w:rPr>
      </w:pPr>
    </w:p>
    <w:p w14:paraId="4346FE4A">
      <w:pPr>
        <w:pStyle w:val="34"/>
        <w:tabs>
          <w:tab w:val="clear" w:pos="708"/>
        </w:tabs>
        <w:spacing w:after="0" w:line="240" w:lineRule="auto"/>
        <w:jc w:val="both"/>
        <w:rPr>
          <w:rFonts w:hint="default"/>
          <w:sz w:val="22"/>
          <w:szCs w:val="22"/>
        </w:rPr>
      </w:pPr>
    </w:p>
    <w:p w14:paraId="0AFC2FAB">
      <w:pPr>
        <w:pStyle w:val="34"/>
        <w:tabs>
          <w:tab w:val="clear" w:pos="708"/>
        </w:tabs>
        <w:spacing w:after="0" w:line="240" w:lineRule="auto"/>
        <w:ind w:left="567"/>
        <w:jc w:val="both"/>
        <w:rPr>
          <w:rFonts w:hint="default"/>
          <w:sz w:val="22"/>
          <w:szCs w:val="22"/>
        </w:rPr>
      </w:pPr>
      <w:r>
        <w:rPr>
          <w:rFonts w:hint="default"/>
          <w:sz w:val="22"/>
          <w:szCs w:val="22"/>
        </w:rPr>
        <w:t>9.</w:t>
      </w:r>
      <w:r>
        <w:rPr>
          <w:rFonts w:hint="default"/>
          <w:sz w:val="22"/>
          <w:szCs w:val="22"/>
          <w:lang w:val="pt-BR"/>
        </w:rPr>
        <w:t>3</w:t>
      </w:r>
      <w:r>
        <w:rPr>
          <w:rFonts w:hint="default"/>
          <w:sz w:val="22"/>
          <w:szCs w:val="22"/>
        </w:rPr>
        <w:t xml:space="preserve"> – Autorizações e Licenças necessárias para execução do objeto:</w:t>
      </w:r>
    </w:p>
    <w:p w14:paraId="22287972">
      <w:pPr>
        <w:pStyle w:val="34"/>
        <w:tabs>
          <w:tab w:val="clear" w:pos="708"/>
        </w:tabs>
        <w:spacing w:after="0" w:line="240" w:lineRule="auto"/>
        <w:ind w:left="567"/>
        <w:jc w:val="both"/>
        <w:rPr>
          <w:rFonts w:hint="default"/>
          <w:sz w:val="22"/>
          <w:szCs w:val="22"/>
          <w:highlight w:val="yellow"/>
        </w:rPr>
      </w:pPr>
    </w:p>
    <w:p w14:paraId="5F6C3CCB">
      <w:pPr>
        <w:pStyle w:val="34"/>
        <w:tabs>
          <w:tab w:val="clear" w:pos="708"/>
        </w:tabs>
        <w:spacing w:after="0" w:line="240" w:lineRule="auto"/>
        <w:ind w:left="567"/>
        <w:jc w:val="both"/>
        <w:rPr>
          <w:rFonts w:hint="default" w:ascii="Times New Roman" w:hAnsi="Times New Roman"/>
          <w:sz w:val="22"/>
          <w:szCs w:val="22"/>
        </w:rPr>
      </w:pPr>
      <w:r>
        <w:rPr>
          <w:rFonts w:hint="default" w:ascii="Times New Roman" w:hAnsi="Times New Roman"/>
          <w:sz w:val="22"/>
          <w:szCs w:val="22"/>
        </w:rPr>
        <w:t>Informamos que todas as licenças, autorizações e aprovações necessárias junto aos órgãos públicos competentes e às concessionárias de serviços essenciais, incluindo, mas não se limitando, à licença de obras e às licenças ambientais, serão de responsabilidade do CONTRATANTE, sendo providenciadas e for</w:t>
      </w:r>
      <w:r>
        <w:rPr>
          <w:rFonts w:hint="default" w:ascii="Times New Roman" w:hAnsi="Times New Roman"/>
          <w:sz w:val="22"/>
          <w:szCs w:val="22"/>
          <w:lang w:val="pt-BR"/>
        </w:rPr>
        <w:t>n</w:t>
      </w:r>
      <w:r>
        <w:rPr>
          <w:rFonts w:hint="default" w:ascii="Times New Roman" w:hAnsi="Times New Roman"/>
          <w:sz w:val="22"/>
          <w:szCs w:val="22"/>
        </w:rPr>
        <w:t>ecidas pela Prefeitura Municipal de Cachoeiras de Macacu.</w:t>
      </w:r>
    </w:p>
    <w:p w14:paraId="55AEA3BC">
      <w:pPr>
        <w:pStyle w:val="34"/>
        <w:tabs>
          <w:tab w:val="clear" w:pos="708"/>
        </w:tabs>
        <w:spacing w:after="0" w:line="240" w:lineRule="auto"/>
        <w:ind w:left="567"/>
        <w:jc w:val="both"/>
        <w:rPr>
          <w:rFonts w:hint="default"/>
          <w:sz w:val="22"/>
          <w:szCs w:val="22"/>
        </w:rPr>
      </w:pPr>
      <w:r>
        <w:rPr>
          <w:rFonts w:hint="default"/>
          <w:sz w:val="22"/>
          <w:szCs w:val="22"/>
        </w:rPr>
        <w:t>Dessa forma, a contratada não terá a responsabilidade de providenciar novas licenças durante a execução do objeto, permanecendo, contudo, sujeita à manutenção da regularidade da documentação quando aplicável. O contratante continuará exercendo fiscalização permanente sobre a validade e regularidade dos documentos pertinentes.</w:t>
      </w:r>
    </w:p>
    <w:p w14:paraId="06F69FFF">
      <w:pPr>
        <w:pStyle w:val="34"/>
        <w:tabs>
          <w:tab w:val="clear" w:pos="708"/>
        </w:tabs>
        <w:spacing w:after="0" w:line="240" w:lineRule="auto"/>
        <w:ind w:left="567"/>
        <w:jc w:val="both"/>
        <w:rPr>
          <w:rFonts w:hint="default"/>
          <w:sz w:val="22"/>
          <w:szCs w:val="22"/>
        </w:rPr>
      </w:pPr>
    </w:p>
    <w:p w14:paraId="4321371A">
      <w:pPr>
        <w:pStyle w:val="34"/>
        <w:tabs>
          <w:tab w:val="clear" w:pos="708"/>
        </w:tabs>
        <w:spacing w:after="0" w:line="240" w:lineRule="auto"/>
        <w:ind w:left="567"/>
        <w:jc w:val="both"/>
        <w:rPr>
          <w:rFonts w:cs="Times New Roman"/>
          <w:sz w:val="22"/>
          <w:szCs w:val="22"/>
        </w:rPr>
      </w:pPr>
      <w:r>
        <w:rPr>
          <w:rFonts w:cs="Times New Roman"/>
          <w:sz w:val="22"/>
          <w:szCs w:val="22"/>
        </w:rPr>
        <w:t>9.</w:t>
      </w:r>
      <w:r>
        <w:rPr>
          <w:rFonts w:hint="default" w:cs="Times New Roman"/>
          <w:sz w:val="22"/>
          <w:szCs w:val="22"/>
          <w:lang w:val="pt-BR"/>
        </w:rPr>
        <w:t>4</w:t>
      </w:r>
      <w:r>
        <w:rPr>
          <w:rFonts w:cs="Times New Roman"/>
          <w:sz w:val="22"/>
          <w:szCs w:val="22"/>
        </w:rPr>
        <w:t xml:space="preserve"> – Da Subcontratação:</w:t>
      </w:r>
    </w:p>
    <w:p w14:paraId="189B5CE6">
      <w:pPr>
        <w:pStyle w:val="34"/>
        <w:tabs>
          <w:tab w:val="clear" w:pos="708"/>
        </w:tabs>
        <w:spacing w:after="0" w:line="240" w:lineRule="auto"/>
        <w:ind w:left="567"/>
        <w:jc w:val="both"/>
        <w:rPr>
          <w:rFonts w:cs="Times New Roman"/>
          <w:b/>
          <w:bCs/>
          <w:sz w:val="22"/>
          <w:szCs w:val="22"/>
        </w:rPr>
      </w:pPr>
    </w:p>
    <w:p w14:paraId="766D7C2A">
      <w:pPr>
        <w:pStyle w:val="34"/>
        <w:tabs>
          <w:tab w:val="clear" w:pos="708"/>
        </w:tabs>
        <w:spacing w:after="0" w:line="240" w:lineRule="auto"/>
        <w:ind w:left="567"/>
        <w:jc w:val="both"/>
        <w:rPr>
          <w:rFonts w:cs="Times New Roman"/>
          <w:sz w:val="22"/>
          <w:szCs w:val="22"/>
        </w:rPr>
      </w:pPr>
      <w:r>
        <w:rPr>
          <w:rFonts w:cs="Times New Roman"/>
          <w:b/>
          <w:bCs/>
          <w:sz w:val="22"/>
          <w:szCs w:val="22"/>
        </w:rPr>
        <w:tab/>
      </w:r>
      <w:r>
        <w:rPr>
          <w:rFonts w:cs="Times New Roman"/>
          <w:sz w:val="22"/>
          <w:szCs w:val="22"/>
        </w:rPr>
        <w:t>9</w:t>
      </w:r>
      <w:r>
        <w:rPr>
          <w:rFonts w:hint="default" w:cs="Times New Roman"/>
          <w:sz w:val="22"/>
          <w:szCs w:val="22"/>
          <w:lang w:val="pt-BR"/>
        </w:rPr>
        <w:t>.4</w:t>
      </w:r>
      <w:r>
        <w:rPr>
          <w:rFonts w:cs="Times New Roman"/>
          <w:sz w:val="22"/>
          <w:szCs w:val="22"/>
        </w:rPr>
        <w:t>.1 – Não é admitida a subcontratação do objeto contratual.</w:t>
      </w:r>
    </w:p>
    <w:p w14:paraId="714C8F38">
      <w:pPr>
        <w:pStyle w:val="21"/>
        <w:numPr>
          <w:ilvl w:val="0"/>
          <w:numId w:val="0"/>
        </w:numPr>
        <w:rPr>
          <w:rFonts w:ascii="Times New Roman" w:hAnsi="Times New Roman" w:cs="Times New Roman"/>
          <w:b/>
          <w:bCs/>
          <w:sz w:val="22"/>
          <w:szCs w:val="22"/>
        </w:rPr>
      </w:pPr>
    </w:p>
    <w:p w14:paraId="30717B80">
      <w:pPr>
        <w:pStyle w:val="21"/>
        <w:numPr>
          <w:ilvl w:val="0"/>
          <w:numId w:val="0"/>
        </w:numPr>
        <w:ind w:firstLine="708"/>
        <w:rPr>
          <w:rFonts w:ascii="Times New Roman" w:hAnsi="Times New Roman" w:cs="Times New Roman"/>
          <w:b/>
          <w:bCs/>
          <w:sz w:val="22"/>
          <w:szCs w:val="22"/>
        </w:rPr>
      </w:pPr>
      <w:r>
        <w:rPr>
          <w:rFonts w:ascii="Times New Roman" w:hAnsi="Times New Roman" w:cs="Times New Roman"/>
          <w:b/>
          <w:bCs/>
          <w:sz w:val="22"/>
          <w:szCs w:val="22"/>
        </w:rPr>
        <w:t>9.</w:t>
      </w:r>
      <w:r>
        <w:rPr>
          <w:rFonts w:hint="default" w:ascii="Times New Roman" w:hAnsi="Times New Roman" w:cs="Times New Roman"/>
          <w:b/>
          <w:bCs/>
          <w:sz w:val="22"/>
          <w:szCs w:val="22"/>
          <w:lang w:val="pt-BR"/>
        </w:rPr>
        <w:t>5</w:t>
      </w:r>
      <w:r>
        <w:rPr>
          <w:rFonts w:ascii="Times New Roman" w:hAnsi="Times New Roman" w:cs="Times New Roman"/>
          <w:b/>
          <w:bCs/>
          <w:sz w:val="22"/>
          <w:szCs w:val="22"/>
        </w:rPr>
        <w:t xml:space="preserve"> - Sustentabilidade: </w:t>
      </w:r>
    </w:p>
    <w:bookmarkEnd w:id="2"/>
    <w:p w14:paraId="77AA1A11">
      <w:pPr>
        <w:pStyle w:val="34"/>
        <w:tabs>
          <w:tab w:val="clear" w:pos="708"/>
        </w:tabs>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9.</w:t>
      </w:r>
      <w:r>
        <w:rPr>
          <w:rFonts w:hint="default" w:cs="Times New Roman"/>
          <w:sz w:val="22"/>
          <w:szCs w:val="22"/>
          <w:lang w:val="pt-BR"/>
        </w:rPr>
        <w:t>5</w:t>
      </w:r>
      <w:r>
        <w:rPr>
          <w:rFonts w:ascii="Times New Roman" w:hAnsi="Times New Roman" w:cs="Times New Roman"/>
          <w:sz w:val="22"/>
          <w:szCs w:val="22"/>
        </w:rPr>
        <w:t>.1 – Diretrizes e Requisitos Sustentáveis da Contratação</w:t>
      </w:r>
    </w:p>
    <w:p w14:paraId="24C4829A">
      <w:pPr>
        <w:pStyle w:val="34"/>
        <w:tabs>
          <w:tab w:val="clear" w:pos="708"/>
        </w:tabs>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A presente contratação observará critérios e práticas sustentáveis tanto na concepção quanto na execução da obra, conforme orientações do Guia Nacional de Contratações Sustentáveis, da Instrução Normativa SEGES/ME nº 01/2020 e demais normativas vigentes. Além das diretrizes técnicas já previstas no projeto padrão do FNDE, deverão ser atendidos os seguintes requisitos mínimos de sustentabilidade:</w:t>
      </w:r>
    </w:p>
    <w:p w14:paraId="372E7A8F">
      <w:pPr>
        <w:pStyle w:val="34"/>
        <w:tabs>
          <w:tab w:val="clear" w:pos="708"/>
        </w:tabs>
        <w:spacing w:after="0" w:line="240" w:lineRule="auto"/>
        <w:ind w:firstLine="567"/>
        <w:jc w:val="both"/>
        <w:rPr>
          <w:rFonts w:ascii="Times New Roman" w:hAnsi="Times New Roman" w:cs="Times New Roman"/>
          <w:sz w:val="22"/>
          <w:szCs w:val="22"/>
        </w:rPr>
      </w:pPr>
    </w:p>
    <w:p w14:paraId="49EABDEC">
      <w:pPr>
        <w:pStyle w:val="34"/>
        <w:tabs>
          <w:tab w:val="clear" w:pos="708"/>
        </w:tabs>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Eficiência no uso de recursos naturais</w:t>
      </w:r>
      <w:r>
        <w:rPr>
          <w:rFonts w:ascii="Times New Roman" w:hAnsi="Times New Roman" w:cs="Times New Roman"/>
          <w:sz w:val="22"/>
          <w:szCs w:val="22"/>
        </w:rPr>
        <w:br w:type="textWrapping"/>
      </w:r>
      <w:r>
        <w:rPr>
          <w:rFonts w:ascii="Times New Roman" w:hAnsi="Times New Roman" w:cs="Times New Roman"/>
          <w:sz w:val="22"/>
          <w:szCs w:val="22"/>
        </w:rPr>
        <w:t>a) Instalação de sistema de captação e reuso de água da chuva, com reservatório e destinação para uso não potável, como irrigação e lavagem de áreas externas;</w:t>
      </w:r>
      <w:r>
        <w:rPr>
          <w:rFonts w:ascii="Times New Roman" w:hAnsi="Times New Roman" w:cs="Times New Roman"/>
          <w:sz w:val="22"/>
          <w:szCs w:val="22"/>
        </w:rPr>
        <w:br w:type="textWrapping"/>
      </w:r>
      <w:r>
        <w:rPr>
          <w:rFonts w:ascii="Times New Roman" w:hAnsi="Times New Roman" w:cs="Times New Roman"/>
          <w:sz w:val="22"/>
          <w:szCs w:val="22"/>
        </w:rPr>
        <w:t>b) Utilização de torneiras de fechamento automático e válvulas de descarga com duplo acionamento para reduzir o consumo de água potável;</w:t>
      </w:r>
      <w:r>
        <w:rPr>
          <w:rFonts w:ascii="Times New Roman" w:hAnsi="Times New Roman" w:cs="Times New Roman"/>
          <w:sz w:val="22"/>
          <w:szCs w:val="22"/>
        </w:rPr>
        <w:br w:type="textWrapping"/>
      </w:r>
      <w:r>
        <w:rPr>
          <w:rFonts w:ascii="Times New Roman" w:hAnsi="Times New Roman" w:cs="Times New Roman"/>
          <w:sz w:val="22"/>
          <w:szCs w:val="22"/>
        </w:rPr>
        <w:t>c) Ventilação e iluminação natural em todos os ambientes, conforme projeto, reduzindo o uso de energia elétrica durante o dia;</w:t>
      </w:r>
    </w:p>
    <w:p w14:paraId="629C760C">
      <w:pPr>
        <w:pStyle w:val="34"/>
        <w:tabs>
          <w:tab w:val="clear" w:pos="708"/>
        </w:tabs>
        <w:spacing w:after="0" w:line="240" w:lineRule="auto"/>
        <w:ind w:firstLine="567"/>
        <w:jc w:val="both"/>
        <w:rPr>
          <w:rFonts w:ascii="Times New Roman" w:hAnsi="Times New Roman" w:cs="Times New Roman"/>
          <w:sz w:val="22"/>
          <w:szCs w:val="22"/>
        </w:rPr>
      </w:pPr>
    </w:p>
    <w:p w14:paraId="601B8626">
      <w:pPr>
        <w:pStyle w:val="34"/>
        <w:tabs>
          <w:tab w:val="clear" w:pos="708"/>
        </w:tabs>
        <w:spacing w:after="0" w:line="240" w:lineRule="auto"/>
        <w:ind w:firstLine="567"/>
        <w:jc w:val="both"/>
        <w:rPr>
          <w:rFonts w:ascii="Times New Roman" w:hAnsi="Times New Roman" w:cs="Times New Roman"/>
          <w:sz w:val="22"/>
          <w:szCs w:val="22"/>
        </w:rPr>
      </w:pPr>
    </w:p>
    <w:p w14:paraId="1447ECCA">
      <w:pPr>
        <w:pStyle w:val="34"/>
        <w:tabs>
          <w:tab w:val="clear" w:pos="708"/>
        </w:tabs>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Redução de impactos ambientais da construção</w:t>
      </w:r>
      <w:r>
        <w:rPr>
          <w:rFonts w:ascii="Times New Roman" w:hAnsi="Times New Roman" w:cs="Times New Roman"/>
          <w:sz w:val="22"/>
          <w:szCs w:val="22"/>
        </w:rPr>
        <w:br w:type="textWrapping"/>
      </w:r>
      <w:r>
        <w:rPr>
          <w:rFonts w:ascii="Times New Roman" w:hAnsi="Times New Roman" w:cs="Times New Roman"/>
          <w:sz w:val="22"/>
          <w:szCs w:val="22"/>
        </w:rPr>
        <w:t>a) Utilização de materiais com menor impacto ambiental, como blocos cerâmicos de produção local, evitando transporte de longa distância;</w:t>
      </w:r>
      <w:r>
        <w:rPr>
          <w:rFonts w:ascii="Times New Roman" w:hAnsi="Times New Roman" w:cs="Times New Roman"/>
          <w:sz w:val="22"/>
          <w:szCs w:val="22"/>
        </w:rPr>
        <w:br w:type="textWrapping"/>
      </w:r>
      <w:r>
        <w:rPr>
          <w:rFonts w:ascii="Times New Roman" w:hAnsi="Times New Roman" w:cs="Times New Roman"/>
          <w:sz w:val="22"/>
          <w:szCs w:val="22"/>
        </w:rPr>
        <w:t>b) Redução de perdas de materiais com planejamento de cortes, controle de resíduos e reaproveitamento de materiais inertes;</w:t>
      </w:r>
      <w:r>
        <w:rPr>
          <w:rFonts w:ascii="Times New Roman" w:hAnsi="Times New Roman" w:cs="Times New Roman"/>
          <w:sz w:val="22"/>
          <w:szCs w:val="22"/>
        </w:rPr>
        <w:br w:type="textWrapping"/>
      </w:r>
      <w:r>
        <w:rPr>
          <w:rFonts w:ascii="Times New Roman" w:hAnsi="Times New Roman" w:cs="Times New Roman"/>
          <w:sz w:val="22"/>
          <w:szCs w:val="22"/>
        </w:rPr>
        <w:t>c) Destinação adequada dos resíduos sólidos da obra conforme PNRS (Lei nº 12.305/2010) e NBR 10004, com segregação, armazenamento e transporte por empresa licenciada;</w:t>
      </w:r>
    </w:p>
    <w:p w14:paraId="3E22D3DD">
      <w:pPr>
        <w:pStyle w:val="34"/>
        <w:tabs>
          <w:tab w:val="clear" w:pos="708"/>
        </w:tabs>
        <w:spacing w:after="0" w:line="240" w:lineRule="auto"/>
        <w:ind w:firstLine="567"/>
        <w:jc w:val="both"/>
        <w:rPr>
          <w:rFonts w:ascii="Times New Roman" w:hAnsi="Times New Roman" w:cs="Times New Roman"/>
          <w:sz w:val="22"/>
          <w:szCs w:val="22"/>
        </w:rPr>
      </w:pPr>
    </w:p>
    <w:p w14:paraId="06F0C360">
      <w:pPr>
        <w:pStyle w:val="34"/>
        <w:tabs>
          <w:tab w:val="clear" w:pos="708"/>
        </w:tabs>
        <w:spacing w:after="0" w:line="240" w:lineRule="auto"/>
        <w:ind w:firstLine="567"/>
        <w:jc w:val="both"/>
        <w:rPr>
          <w:rFonts w:ascii="Times New Roman" w:hAnsi="Times New Roman" w:cs="Times New Roman"/>
          <w:sz w:val="22"/>
          <w:szCs w:val="22"/>
        </w:rPr>
      </w:pPr>
    </w:p>
    <w:p w14:paraId="2E492FE0">
      <w:pPr>
        <w:pStyle w:val="34"/>
        <w:tabs>
          <w:tab w:val="clear" w:pos="708"/>
        </w:tabs>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Durabilidade e manutenção sustentável</w:t>
      </w:r>
      <w:r>
        <w:rPr>
          <w:rFonts w:ascii="Times New Roman" w:hAnsi="Times New Roman" w:cs="Times New Roman"/>
          <w:sz w:val="22"/>
          <w:szCs w:val="22"/>
        </w:rPr>
        <w:br w:type="textWrapping"/>
      </w:r>
      <w:r>
        <w:rPr>
          <w:rFonts w:ascii="Times New Roman" w:hAnsi="Times New Roman" w:cs="Times New Roman"/>
          <w:sz w:val="22"/>
          <w:szCs w:val="22"/>
        </w:rPr>
        <w:t>a) Uso de materiais de acabamento de fácil manutenção e alta durabilidade, como pisos cerâmicos, metais sanitários com arejadores e pintura acrílica lavável;</w:t>
      </w:r>
      <w:r>
        <w:rPr>
          <w:rFonts w:ascii="Times New Roman" w:hAnsi="Times New Roman" w:cs="Times New Roman"/>
          <w:sz w:val="22"/>
          <w:szCs w:val="22"/>
        </w:rPr>
        <w:br w:type="textWrapping"/>
      </w:r>
      <w:r>
        <w:rPr>
          <w:rFonts w:ascii="Times New Roman" w:hAnsi="Times New Roman" w:cs="Times New Roman"/>
          <w:sz w:val="22"/>
          <w:szCs w:val="22"/>
        </w:rPr>
        <w:t>b) Estrutura e coberturas projetadas para longa vida útil (mínimo 20 a 50 anos para os principais sistemas), conforme indicado no Memorial Descritivo;</w:t>
      </w:r>
    </w:p>
    <w:p w14:paraId="3184C15C">
      <w:pPr>
        <w:pStyle w:val="34"/>
        <w:tabs>
          <w:tab w:val="clear" w:pos="708"/>
        </w:tabs>
        <w:spacing w:after="0" w:line="240" w:lineRule="auto"/>
        <w:ind w:firstLine="567"/>
        <w:jc w:val="both"/>
        <w:rPr>
          <w:rFonts w:ascii="Times New Roman" w:hAnsi="Times New Roman" w:cs="Times New Roman"/>
          <w:sz w:val="22"/>
          <w:szCs w:val="22"/>
        </w:rPr>
      </w:pPr>
    </w:p>
    <w:p w14:paraId="19748ED7">
      <w:pPr>
        <w:pStyle w:val="34"/>
        <w:tabs>
          <w:tab w:val="clear" w:pos="708"/>
        </w:tabs>
        <w:spacing w:after="0" w:line="240" w:lineRule="auto"/>
        <w:ind w:firstLine="567"/>
        <w:jc w:val="both"/>
        <w:rPr>
          <w:rFonts w:ascii="Times New Roman" w:hAnsi="Times New Roman" w:cs="Times New Roman"/>
          <w:sz w:val="22"/>
          <w:szCs w:val="22"/>
        </w:rPr>
      </w:pPr>
    </w:p>
    <w:p w14:paraId="189FB84A">
      <w:pPr>
        <w:pStyle w:val="34"/>
        <w:tabs>
          <w:tab w:val="clear" w:pos="708"/>
        </w:tabs>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Acessibilidade Universal e Conforto Ambiental</w:t>
      </w:r>
      <w:r>
        <w:rPr>
          <w:rFonts w:ascii="Times New Roman" w:hAnsi="Times New Roman" w:cs="Times New Roman"/>
          <w:sz w:val="22"/>
          <w:szCs w:val="22"/>
        </w:rPr>
        <w:br w:type="textWrapping"/>
      </w:r>
      <w:r>
        <w:rPr>
          <w:rFonts w:ascii="Times New Roman" w:hAnsi="Times New Roman" w:cs="Times New Roman"/>
          <w:sz w:val="22"/>
          <w:szCs w:val="22"/>
        </w:rPr>
        <w:t>a) Adoção de soluções arquitetônicas acessíveis a todos os usuários (pessoas com deficiência ou mobilidade reduzida), conforme NBR 9050;</w:t>
      </w:r>
      <w:r>
        <w:rPr>
          <w:rFonts w:ascii="Times New Roman" w:hAnsi="Times New Roman" w:cs="Times New Roman"/>
          <w:sz w:val="22"/>
          <w:szCs w:val="22"/>
        </w:rPr>
        <w:br w:type="textWrapping"/>
      </w:r>
      <w:r>
        <w:rPr>
          <w:rFonts w:ascii="Times New Roman" w:hAnsi="Times New Roman" w:cs="Times New Roman"/>
          <w:sz w:val="22"/>
          <w:szCs w:val="22"/>
        </w:rPr>
        <w:t>b) Elementos de proteção solar e conforto térmico, como telhas termoacústicas tipo sanduíche, ventilação cruzada e sombreamento das áreas externas.</w:t>
      </w:r>
    </w:p>
    <w:p w14:paraId="112B84C1">
      <w:pPr>
        <w:pStyle w:val="34"/>
        <w:tabs>
          <w:tab w:val="clear" w:pos="708"/>
        </w:tabs>
        <w:spacing w:after="0" w:line="240" w:lineRule="auto"/>
        <w:ind w:firstLine="567"/>
        <w:jc w:val="both"/>
        <w:rPr>
          <w:rFonts w:ascii="Times New Roman" w:hAnsi="Times New Roman" w:cs="Times New Roman"/>
          <w:sz w:val="22"/>
          <w:szCs w:val="22"/>
        </w:rPr>
      </w:pPr>
    </w:p>
    <w:p w14:paraId="70608C61">
      <w:pPr>
        <w:pStyle w:val="34"/>
        <w:tabs>
          <w:tab w:val="clear" w:pos="708"/>
        </w:tabs>
        <w:spacing w:after="0" w:line="240" w:lineRule="auto"/>
        <w:ind w:firstLine="567"/>
        <w:jc w:val="both"/>
        <w:rPr>
          <w:rFonts w:ascii="Times New Roman" w:hAnsi="Times New Roman" w:cs="Times New Roman"/>
          <w:sz w:val="22"/>
          <w:szCs w:val="22"/>
        </w:rPr>
      </w:pPr>
    </w:p>
    <w:p w14:paraId="01BDE52F">
      <w:pPr>
        <w:pStyle w:val="34"/>
        <w:tabs>
          <w:tab w:val="clear" w:pos="708"/>
        </w:tabs>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Responsabilidade Social e Econômica</w:t>
      </w:r>
      <w:r>
        <w:rPr>
          <w:rFonts w:ascii="Times New Roman" w:hAnsi="Times New Roman" w:cs="Times New Roman"/>
          <w:sz w:val="22"/>
          <w:szCs w:val="22"/>
        </w:rPr>
        <w:br w:type="textWrapping"/>
      </w:r>
      <w:r>
        <w:rPr>
          <w:rFonts w:ascii="Times New Roman" w:hAnsi="Times New Roman" w:cs="Times New Roman"/>
          <w:sz w:val="22"/>
          <w:szCs w:val="22"/>
        </w:rPr>
        <w:t>a) Estímulo à contratação de mão de obra local e capacitada, sempre que possível;</w:t>
      </w:r>
      <w:r>
        <w:rPr>
          <w:rFonts w:ascii="Times New Roman" w:hAnsi="Times New Roman" w:cs="Times New Roman"/>
          <w:sz w:val="22"/>
          <w:szCs w:val="22"/>
        </w:rPr>
        <w:br w:type="textWrapping"/>
      </w:r>
      <w:r>
        <w:rPr>
          <w:rFonts w:ascii="Times New Roman" w:hAnsi="Times New Roman" w:cs="Times New Roman"/>
          <w:sz w:val="22"/>
          <w:szCs w:val="22"/>
        </w:rPr>
        <w:t>b) Observância das normas trabalhistas e de segurança do trabalho (NRs) no canteiro de obras.</w:t>
      </w:r>
    </w:p>
    <w:p w14:paraId="4B77607C">
      <w:pPr>
        <w:pStyle w:val="34"/>
        <w:tabs>
          <w:tab w:val="clear" w:pos="708"/>
        </w:tabs>
        <w:spacing w:after="0" w:line="240" w:lineRule="auto"/>
        <w:ind w:firstLine="567"/>
        <w:jc w:val="both"/>
        <w:rPr>
          <w:rFonts w:ascii="Times New Roman" w:hAnsi="Times New Roman" w:cs="Times New Roman"/>
          <w:sz w:val="22"/>
          <w:szCs w:val="22"/>
        </w:rPr>
      </w:pPr>
    </w:p>
    <w:p w14:paraId="779EEBA8">
      <w:pPr>
        <w:pStyle w:val="34"/>
        <w:tabs>
          <w:tab w:val="clear" w:pos="708"/>
        </w:tabs>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O atendimento a esses requisitos será exigido e monitorado pela fiscalização técnica da contratante, podendo constar como critérios de avaliação em medições, recebimento e aceite da obra.</w:t>
      </w:r>
    </w:p>
    <w:p w14:paraId="6B482093">
      <w:pPr>
        <w:pStyle w:val="34"/>
        <w:tabs>
          <w:tab w:val="clear" w:pos="708"/>
        </w:tabs>
        <w:spacing w:after="0" w:line="240" w:lineRule="auto"/>
        <w:ind w:firstLine="567"/>
        <w:jc w:val="both"/>
        <w:rPr>
          <w:rFonts w:cs="Times New Roman"/>
          <w:sz w:val="22"/>
          <w:szCs w:val="22"/>
        </w:rPr>
      </w:pPr>
    </w:p>
    <w:p w14:paraId="49168F8D">
      <w:pPr>
        <w:jc w:val="both"/>
        <w:rPr>
          <w:sz w:val="22"/>
          <w:szCs w:val="22"/>
        </w:rPr>
      </w:pPr>
      <w:bookmarkStart w:id="3" w:name="_Hlk168663928"/>
      <w:bookmarkStart w:id="4" w:name="_Hlk168663572"/>
      <w:r>
        <w:rPr>
          <w:b/>
          <w:bCs/>
          <w:sz w:val="22"/>
          <w:szCs w:val="22"/>
        </w:rPr>
        <w:t xml:space="preserve">10. MODALIDADE DE LICITAÇÃO, CRITÉRIO DE JULGAMENTO E MODO DE DISPUTA </w:t>
      </w:r>
      <w:r>
        <w:rPr>
          <w:sz w:val="22"/>
          <w:szCs w:val="22"/>
        </w:rPr>
        <w:t>(apresentar motivação sobre a adequação e eficiência da combinação desses parâmetros):</w:t>
      </w:r>
    </w:p>
    <w:p w14:paraId="018E00A6">
      <w:pPr>
        <w:jc w:val="both"/>
        <w:rPr>
          <w:b/>
          <w:sz w:val="22"/>
          <w:szCs w:val="22"/>
        </w:rPr>
      </w:pPr>
    </w:p>
    <w:p w14:paraId="694F441E">
      <w:pPr>
        <w:pStyle w:val="34"/>
        <w:tabs>
          <w:tab w:val="clear" w:pos="708"/>
        </w:tabs>
        <w:spacing w:after="0" w:line="240" w:lineRule="auto"/>
        <w:ind w:firstLine="567"/>
        <w:jc w:val="both"/>
        <w:rPr>
          <w:rFonts w:ascii="Times New Roman" w:hAnsi="Times New Roman" w:eastAsia="Times New Roman" w:cs="Times New Roman"/>
          <w:sz w:val="22"/>
          <w:szCs w:val="22"/>
          <w:lang w:val="pt-BR" w:eastAsia="pt-BR" w:bidi="ar-SA"/>
        </w:rPr>
      </w:pPr>
      <w:r>
        <w:rPr>
          <w:rFonts w:ascii="Times New Roman" w:hAnsi="Times New Roman" w:cs="Times New Roman"/>
          <w:sz w:val="22"/>
          <w:szCs w:val="22"/>
        </w:rPr>
        <w:t>10.1</w:t>
      </w:r>
      <w:r>
        <w:rPr>
          <w:rFonts w:ascii="Times New Roman" w:hAnsi="Times New Roman" w:eastAsia="Times New Roman" w:cs="Times New Roman"/>
          <w:sz w:val="22"/>
          <w:szCs w:val="22"/>
          <w:lang w:val="pt-BR" w:eastAsia="pt-BR" w:bidi="ar-SA"/>
        </w:rPr>
        <w:t xml:space="preserve">. A licitação será realizada na modalidade </w:t>
      </w:r>
      <w:r>
        <w:rPr>
          <w:rFonts w:ascii="Times New Roman" w:hAnsi="Times New Roman" w:eastAsia="Times New Roman" w:cs="Times New Roman"/>
          <w:b/>
          <w:bCs/>
          <w:sz w:val="22"/>
          <w:szCs w:val="22"/>
          <w:lang w:val="pt-BR" w:eastAsia="pt-BR" w:bidi="ar-SA"/>
        </w:rPr>
        <w:t>Concorrência</w:t>
      </w:r>
      <w:r>
        <w:rPr>
          <w:rFonts w:ascii="Times New Roman" w:hAnsi="Times New Roman" w:eastAsia="Times New Roman" w:cs="Times New Roman"/>
          <w:sz w:val="22"/>
          <w:szCs w:val="22"/>
          <w:lang w:val="pt-BR" w:eastAsia="pt-BR" w:bidi="ar-SA"/>
        </w:rPr>
        <w:t xml:space="preserve">, com critério de julgamento do tipo </w:t>
      </w:r>
      <w:r>
        <w:rPr>
          <w:rFonts w:ascii="Times New Roman" w:hAnsi="Times New Roman" w:eastAsia="Times New Roman" w:cs="Times New Roman"/>
          <w:b/>
          <w:bCs/>
          <w:sz w:val="22"/>
          <w:szCs w:val="22"/>
          <w:lang w:val="pt-BR" w:eastAsia="pt-BR" w:bidi="ar-SA"/>
        </w:rPr>
        <w:t>menor preço</w:t>
      </w:r>
      <w:r>
        <w:rPr>
          <w:rFonts w:ascii="Times New Roman" w:hAnsi="Times New Roman" w:eastAsia="Times New Roman" w:cs="Times New Roman"/>
          <w:sz w:val="22"/>
          <w:szCs w:val="22"/>
          <w:lang w:val="pt-BR" w:eastAsia="pt-BR" w:bidi="ar-SA"/>
        </w:rPr>
        <w:t>, conforme o disposto no art. 28, inciso I, e art. 33, inciso I da Lei nº 14.133/2021.</w:t>
      </w:r>
      <w:r>
        <w:rPr>
          <w:rFonts w:ascii="Times New Roman" w:hAnsi="Times New Roman" w:eastAsia="Times New Roman" w:cs="Times New Roman"/>
          <w:sz w:val="22"/>
          <w:szCs w:val="22"/>
          <w:lang w:val="pt-BR" w:eastAsia="pt-BR" w:bidi="ar-SA"/>
        </w:rPr>
        <w:br w:type="textWrapping"/>
      </w:r>
      <w:r>
        <w:rPr>
          <w:rFonts w:ascii="Times New Roman" w:hAnsi="Times New Roman" w:eastAsia="Times New Roman" w:cs="Times New Roman"/>
          <w:sz w:val="22"/>
          <w:szCs w:val="22"/>
          <w:lang w:val="pt-BR" w:eastAsia="pt-BR" w:bidi="ar-SA"/>
        </w:rPr>
        <w:t xml:space="preserve">O regime de execução adotado será o de </w:t>
      </w:r>
      <w:r>
        <w:rPr>
          <w:rFonts w:ascii="Times New Roman" w:hAnsi="Times New Roman" w:eastAsia="Times New Roman" w:cs="Times New Roman"/>
          <w:b/>
          <w:bCs/>
          <w:sz w:val="22"/>
          <w:szCs w:val="22"/>
          <w:lang w:val="pt-BR" w:eastAsia="pt-BR" w:bidi="ar-SA"/>
        </w:rPr>
        <w:t>empreitada por preço global</w:t>
      </w:r>
      <w:r>
        <w:rPr>
          <w:rFonts w:ascii="Times New Roman" w:hAnsi="Times New Roman" w:eastAsia="Times New Roman" w:cs="Times New Roman"/>
          <w:sz w:val="22"/>
          <w:szCs w:val="22"/>
          <w:lang w:val="pt-BR" w:eastAsia="pt-BR" w:bidi="ar-SA"/>
        </w:rPr>
        <w:t>, nos termos do art. 46, inciso I, da mesma Lei, considerando que o projeto executivo se encontra completo e possibilita a contratação pelo valor total estimado para a execução da obra.</w:t>
      </w:r>
    </w:p>
    <w:p w14:paraId="71F08EDA">
      <w:pPr>
        <w:jc w:val="both"/>
        <w:rPr>
          <w:sz w:val="22"/>
          <w:szCs w:val="22"/>
        </w:rPr>
      </w:pPr>
    </w:p>
    <w:bookmarkEnd w:id="3"/>
    <w:p w14:paraId="5D543826">
      <w:pPr>
        <w:jc w:val="both"/>
        <w:rPr>
          <w:b/>
          <w:bCs/>
          <w:sz w:val="22"/>
          <w:szCs w:val="22"/>
        </w:rPr>
      </w:pPr>
    </w:p>
    <w:p w14:paraId="02FB01D8">
      <w:pPr>
        <w:jc w:val="both"/>
        <w:rPr>
          <w:b/>
          <w:bCs/>
          <w:sz w:val="22"/>
          <w:szCs w:val="22"/>
        </w:rPr>
      </w:pPr>
      <w:r>
        <w:rPr>
          <w:b/>
          <w:bCs/>
          <w:sz w:val="22"/>
          <w:szCs w:val="22"/>
        </w:rPr>
        <w:t>11. VALOR MÁXIMO ESTIMADO UNITÁRIO E GLOBAL DA CONTRATAÇÃO:</w:t>
      </w:r>
    </w:p>
    <w:p w14:paraId="72826E7E">
      <w:pPr>
        <w:jc w:val="both"/>
        <w:rPr>
          <w:b/>
          <w:bCs/>
          <w:sz w:val="22"/>
          <w:szCs w:val="22"/>
        </w:rPr>
      </w:pPr>
    </w:p>
    <w:p w14:paraId="10D5CC5E">
      <w:pPr>
        <w:ind w:firstLine="708"/>
        <w:jc w:val="both"/>
        <w:rPr>
          <w:rFonts w:hint="default"/>
          <w:b/>
          <w:bCs/>
          <w:sz w:val="22"/>
          <w:szCs w:val="22"/>
          <w:lang w:val="pt-BR"/>
        </w:rPr>
      </w:pPr>
      <w:r>
        <w:rPr>
          <w:sz w:val="22"/>
          <w:szCs w:val="22"/>
        </w:rPr>
        <w:t xml:space="preserve">11.1 - O custo estimado total da contratação é de </w:t>
      </w:r>
      <w:r>
        <w:rPr>
          <w:b/>
          <w:bCs/>
          <w:sz w:val="22"/>
          <w:szCs w:val="22"/>
        </w:rPr>
        <w:t xml:space="preserve">R$ </w:t>
      </w:r>
      <w:r>
        <w:rPr>
          <w:rFonts w:hint="default"/>
          <w:b/>
          <w:bCs/>
          <w:sz w:val="22"/>
          <w:szCs w:val="22"/>
          <w:lang w:val="pt-BR"/>
        </w:rPr>
        <w:t>6.874.389,46</w:t>
      </w:r>
      <w:r>
        <w:rPr>
          <w:b/>
          <w:bCs/>
          <w:sz w:val="22"/>
          <w:szCs w:val="22"/>
        </w:rPr>
        <w:t xml:space="preserve"> (</w:t>
      </w:r>
      <w:r>
        <w:rPr>
          <w:rFonts w:hint="default"/>
          <w:b/>
          <w:bCs/>
          <w:sz w:val="22"/>
          <w:szCs w:val="22"/>
          <w:lang w:val="pt-BR"/>
        </w:rPr>
        <w:t>seis milhões, oitocentos e setenta e quatro mil, trezentos e oitenta e nove reais e quarenta e seis centavos</w:t>
      </w:r>
      <w:r>
        <w:rPr>
          <w:b/>
          <w:bCs/>
          <w:sz w:val="22"/>
          <w:szCs w:val="22"/>
        </w:rPr>
        <w:t>),</w:t>
      </w:r>
      <w:r>
        <w:rPr>
          <w:sz w:val="22"/>
          <w:szCs w:val="22"/>
        </w:rPr>
        <w:t xml:space="preserve"> conforme pesquisa de preços realizada n</w:t>
      </w:r>
      <w:r>
        <w:rPr>
          <w:rFonts w:hint="default"/>
          <w:sz w:val="22"/>
          <w:szCs w:val="22"/>
          <w:lang w:val="pt-BR"/>
        </w:rPr>
        <w:t xml:space="preserve">a planilha base </w:t>
      </w:r>
      <w:r>
        <w:rPr>
          <w:rFonts w:hint="default"/>
          <w:b/>
          <w:bCs/>
          <w:sz w:val="22"/>
          <w:szCs w:val="22"/>
          <w:lang w:val="pt-BR"/>
        </w:rPr>
        <w:t>SINAPI JANEIRO/2025.</w:t>
      </w:r>
    </w:p>
    <w:p w14:paraId="7303E4D9">
      <w:pPr>
        <w:ind w:firstLine="708"/>
        <w:jc w:val="both"/>
        <w:rPr>
          <w:rFonts w:hint="default"/>
          <w:sz w:val="22"/>
          <w:szCs w:val="22"/>
          <w:highlight w:val="none"/>
          <w:lang w:val="pt-BR"/>
        </w:rPr>
      </w:pPr>
      <w:r>
        <w:rPr>
          <w:rFonts w:hint="default"/>
          <w:sz w:val="22"/>
          <w:szCs w:val="22"/>
          <w:highlight w:val="none"/>
          <w:lang w:val="pt-BR"/>
        </w:rPr>
        <w:t>Compreendem os serviços e insumos cobertos por recursos provenientes do convênio com o Fundo Nanional da Educação (FNDE);</w:t>
      </w:r>
    </w:p>
    <w:p w14:paraId="17A18EC8">
      <w:pPr>
        <w:jc w:val="both"/>
        <w:rPr>
          <w:bCs/>
          <w:sz w:val="22"/>
          <w:szCs w:val="22"/>
        </w:rPr>
      </w:pPr>
    </w:p>
    <w:p w14:paraId="23A69A88">
      <w:pPr>
        <w:jc w:val="both"/>
        <w:rPr>
          <w:b/>
          <w:sz w:val="22"/>
          <w:szCs w:val="22"/>
        </w:rPr>
      </w:pPr>
      <w:r>
        <w:rPr>
          <w:b/>
          <w:sz w:val="22"/>
          <w:szCs w:val="22"/>
        </w:rPr>
        <w:t>12. CLASSIFICAÇÃO ORÇAMENTÁRIA DA DESPESA:</w:t>
      </w:r>
    </w:p>
    <w:p w14:paraId="49830FCC">
      <w:pPr>
        <w:jc w:val="both"/>
        <w:rPr>
          <w:bCs/>
          <w:sz w:val="22"/>
          <w:szCs w:val="22"/>
        </w:rPr>
      </w:pPr>
    </w:p>
    <w:p w14:paraId="4401EE62">
      <w:pPr>
        <w:pStyle w:val="23"/>
        <w:numPr>
          <w:ilvl w:val="0"/>
          <w:numId w:val="0"/>
        </w:numPr>
        <w:spacing w:before="0" w:after="0" w:line="240" w:lineRule="auto"/>
        <w:ind w:firstLine="708"/>
        <w:contextualSpacing/>
        <w:rPr>
          <w:rFonts w:hint="default" w:ascii="Times New Roman" w:hAnsi="Times New Roman" w:eastAsia="Arial" w:cs="Times New Roman"/>
          <w:lang w:val="pt-BR"/>
        </w:rPr>
      </w:pPr>
      <w:r>
        <w:rPr>
          <w:rFonts w:ascii="Times New Roman" w:hAnsi="Times New Roman" w:cs="Times New Roman"/>
          <w:color w:val="auto"/>
        </w:rPr>
        <w:t xml:space="preserve">12.1 - </w:t>
      </w:r>
      <w:r>
        <w:rPr>
          <w:rFonts w:ascii="Times New Roman" w:hAnsi="Times New Roman" w:eastAsia="Arial" w:cs="Times New Roman"/>
        </w:rPr>
        <w:t>As despesas decorrentes da presente contratação correrão à conta de recursos específicos consignados no Orçamento da Prefeitura Municipal de Cachoeiras de Macacu/RJ, sendo atendida pela seguinte dotação:</w:t>
      </w:r>
      <w:r>
        <w:rPr>
          <w:rFonts w:hint="default" w:ascii="Times New Roman" w:hAnsi="Times New Roman" w:eastAsia="Arial" w:cs="Times New Roman"/>
          <w:lang w:val="pt-BR"/>
        </w:rPr>
        <w:t xml:space="preserve"> Secretaria Municipal de Obras, Saneamento, Urbanismo e Conservação. </w:t>
      </w:r>
    </w:p>
    <w:p w14:paraId="19230750">
      <w:pPr>
        <w:pStyle w:val="23"/>
        <w:numPr>
          <w:ilvl w:val="0"/>
          <w:numId w:val="0"/>
        </w:numPr>
        <w:spacing w:before="0" w:after="0" w:line="240" w:lineRule="auto"/>
        <w:ind w:firstLine="708"/>
        <w:contextualSpacing/>
        <w:rPr>
          <w:rFonts w:ascii="Times New Roman" w:hAnsi="Times New Roman" w:eastAsia="Arial" w:cs="Times New Roman"/>
        </w:rPr>
      </w:pPr>
    </w:p>
    <w:p w14:paraId="6E15F81D">
      <w:pPr>
        <w:pStyle w:val="23"/>
        <w:numPr>
          <w:ilvl w:val="0"/>
          <w:numId w:val="0"/>
        </w:numPr>
        <w:spacing w:before="0" w:after="0" w:line="240" w:lineRule="auto"/>
        <w:ind w:firstLine="708"/>
        <w:contextualSpacing/>
        <w:rPr>
          <w:rFonts w:hint="default" w:ascii="Times New Roman" w:hAnsi="Times New Roman" w:eastAsia="Arial" w:cs="Times New Roman"/>
          <w:lang w:val="pt-BR"/>
        </w:rPr>
      </w:pPr>
      <w:r>
        <w:rPr>
          <w:rFonts w:hint="default" w:ascii="Times New Roman" w:hAnsi="Times New Roman" w:eastAsia="Arial" w:cs="Times New Roman"/>
          <w:lang w:val="pt-BR"/>
        </w:rPr>
        <w:t>12.2 – O Município não possui Plano Anual de Contratações para 2025.</w:t>
      </w:r>
    </w:p>
    <w:p w14:paraId="32889AE8">
      <w:pPr>
        <w:ind w:firstLine="708"/>
        <w:jc w:val="both"/>
        <w:rPr>
          <w:rFonts w:hint="default" w:ascii="Times New Roman" w:hAnsi="Times New Roman" w:eastAsia="Arial" w:cs="Times New Roman"/>
          <w:lang w:val="pt-BR"/>
        </w:rPr>
      </w:pPr>
    </w:p>
    <w:p w14:paraId="0627E980">
      <w:pPr>
        <w:ind w:firstLine="708"/>
        <w:jc w:val="both"/>
        <w:rPr>
          <w:rFonts w:hint="default" w:ascii="Times New Roman" w:hAnsi="Times New Roman" w:eastAsia="Arial" w:cs="Times New Roman"/>
          <w:lang w:val="pt-BR"/>
        </w:rPr>
      </w:pPr>
    </w:p>
    <w:bookmarkEnd w:id="4"/>
    <w:p w14:paraId="5C7A204D">
      <w:pPr>
        <w:pStyle w:val="10"/>
        <w:spacing w:before="0" w:beforeAutospacing="0" w:after="0" w:afterAutospacing="0"/>
        <w:jc w:val="both"/>
        <w:rPr>
          <w:b/>
          <w:bCs/>
          <w:sz w:val="22"/>
          <w:szCs w:val="22"/>
        </w:rPr>
      </w:pPr>
      <w:r>
        <w:rPr>
          <w:b/>
          <w:bCs/>
          <w:sz w:val="22"/>
          <w:szCs w:val="22"/>
        </w:rPr>
        <w:t>13. GARANTIA:</w:t>
      </w:r>
    </w:p>
    <w:p w14:paraId="543613EC">
      <w:pPr>
        <w:pStyle w:val="10"/>
        <w:spacing w:before="0" w:beforeAutospacing="0" w:after="0" w:afterAutospacing="0"/>
        <w:jc w:val="both"/>
        <w:rPr>
          <w:b/>
          <w:bCs/>
          <w:sz w:val="22"/>
          <w:szCs w:val="22"/>
          <w:highlight w:val="none"/>
        </w:rPr>
      </w:pPr>
    </w:p>
    <w:p w14:paraId="6484659C">
      <w:pPr>
        <w:pStyle w:val="10"/>
        <w:spacing w:before="0" w:beforeAutospacing="0" w:after="0" w:afterAutospacing="0"/>
        <w:ind w:firstLine="708"/>
        <w:jc w:val="both"/>
        <w:rPr>
          <w:rFonts w:hint="default"/>
          <w:sz w:val="22"/>
          <w:szCs w:val="22"/>
          <w:highlight w:val="none"/>
        </w:rPr>
      </w:pPr>
      <w:r>
        <w:rPr>
          <w:rFonts w:hint="default"/>
          <w:sz w:val="22"/>
          <w:szCs w:val="22"/>
          <w:highlight w:val="none"/>
          <w:lang w:val="pt-BR"/>
        </w:rPr>
        <w:t xml:space="preserve">13.2 - </w:t>
      </w:r>
      <w:r>
        <w:rPr>
          <w:rFonts w:hint="default"/>
          <w:sz w:val="22"/>
          <w:szCs w:val="22"/>
          <w:highlight w:val="none"/>
        </w:rPr>
        <w:t>O contratado apresentará, no prazo máximo de 10 (dez) dias úteis, prorrogáveis por igual período, a critério do contratante, contado da assinatura do contrato, comprovante de prestação de garantia, podendo optar por caução em dinheiro ou títulos da dívida pública ou, ainda, pela fiança bancária, em valor correspondente a 5% (cinco por cento) do valor inicial/total/anual do contrato.</w:t>
      </w:r>
    </w:p>
    <w:p w14:paraId="1ED8FF6F">
      <w:pPr>
        <w:pStyle w:val="10"/>
        <w:spacing w:before="0" w:beforeAutospacing="0" w:after="0" w:afterAutospacing="0"/>
        <w:ind w:firstLine="708"/>
        <w:jc w:val="both"/>
        <w:rPr>
          <w:rFonts w:hint="default"/>
          <w:sz w:val="22"/>
          <w:szCs w:val="22"/>
          <w:highlight w:val="none"/>
          <w:lang w:val="pt-BR"/>
        </w:rPr>
      </w:pPr>
    </w:p>
    <w:p w14:paraId="44DB1C04">
      <w:pPr>
        <w:pStyle w:val="10"/>
        <w:spacing w:before="0" w:beforeAutospacing="0" w:after="0" w:afterAutospacing="0"/>
        <w:ind w:firstLine="708"/>
        <w:jc w:val="both"/>
        <w:rPr>
          <w:rFonts w:hint="default"/>
          <w:i/>
          <w:iCs/>
          <w:sz w:val="22"/>
          <w:szCs w:val="22"/>
        </w:rPr>
      </w:pPr>
      <w:r>
        <w:rPr>
          <w:i/>
          <w:iCs/>
          <w:sz w:val="22"/>
          <w:szCs w:val="22"/>
        </w:rPr>
        <w:t>§ 1º Caberá ao contratado optar por uma das seguintes modalidades de garantia:</w:t>
      </w:r>
    </w:p>
    <w:p w14:paraId="23E5CBEC">
      <w:pPr>
        <w:pStyle w:val="10"/>
        <w:spacing w:before="0" w:beforeAutospacing="0" w:after="0" w:afterAutospacing="0"/>
        <w:ind w:firstLine="708"/>
        <w:jc w:val="both"/>
        <w:rPr>
          <w:rFonts w:hint="default"/>
          <w:i/>
          <w:iCs/>
          <w:sz w:val="22"/>
          <w:szCs w:val="22"/>
        </w:rPr>
      </w:pPr>
      <w:bookmarkStart w:id="5" w:name="art96§1i"/>
      <w:bookmarkEnd w:id="5"/>
      <w:r>
        <w:rPr>
          <w:rFonts w:hint="default"/>
          <w:i/>
          <w:iCs/>
          <w:sz w:val="22"/>
          <w:szCs w:val="22"/>
        </w:rPr>
        <w:t>I -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p>
    <w:p w14:paraId="42611E2F">
      <w:pPr>
        <w:pStyle w:val="10"/>
        <w:spacing w:before="0" w:beforeAutospacing="0" w:after="0" w:afterAutospacing="0"/>
        <w:ind w:firstLine="708"/>
        <w:jc w:val="both"/>
        <w:rPr>
          <w:rFonts w:hint="default"/>
          <w:i/>
          <w:iCs/>
          <w:sz w:val="22"/>
          <w:szCs w:val="22"/>
        </w:rPr>
      </w:pPr>
    </w:p>
    <w:p w14:paraId="67A959DF">
      <w:pPr>
        <w:pStyle w:val="10"/>
        <w:spacing w:before="0" w:beforeAutospacing="0" w:after="0" w:afterAutospacing="0"/>
        <w:ind w:firstLine="708"/>
        <w:jc w:val="both"/>
        <w:rPr>
          <w:rFonts w:hint="default"/>
          <w:i/>
          <w:iCs/>
          <w:sz w:val="22"/>
          <w:szCs w:val="22"/>
        </w:rPr>
      </w:pPr>
      <w:bookmarkStart w:id="6" w:name="art96§1ii"/>
      <w:bookmarkEnd w:id="6"/>
      <w:r>
        <w:rPr>
          <w:rFonts w:hint="default"/>
          <w:i/>
          <w:iCs/>
          <w:sz w:val="22"/>
          <w:szCs w:val="22"/>
        </w:rPr>
        <w:t>II - seguro-garantia;</w:t>
      </w:r>
    </w:p>
    <w:p w14:paraId="56B069F5">
      <w:pPr>
        <w:pStyle w:val="10"/>
        <w:spacing w:before="0" w:beforeAutospacing="0" w:after="0" w:afterAutospacing="0"/>
        <w:ind w:firstLine="708"/>
        <w:jc w:val="both"/>
        <w:rPr>
          <w:rFonts w:hint="default"/>
          <w:i/>
          <w:iCs/>
          <w:sz w:val="22"/>
          <w:szCs w:val="22"/>
        </w:rPr>
      </w:pPr>
    </w:p>
    <w:p w14:paraId="61497D21">
      <w:pPr>
        <w:pStyle w:val="10"/>
        <w:spacing w:before="0" w:beforeAutospacing="0" w:after="0" w:afterAutospacing="0"/>
        <w:ind w:firstLine="708"/>
        <w:jc w:val="both"/>
        <w:rPr>
          <w:rFonts w:hint="default"/>
          <w:i/>
          <w:iCs/>
          <w:sz w:val="22"/>
          <w:szCs w:val="22"/>
        </w:rPr>
      </w:pPr>
      <w:bookmarkStart w:id="7" w:name="art96§1iii"/>
      <w:bookmarkEnd w:id="7"/>
      <w:r>
        <w:rPr>
          <w:rFonts w:hint="default"/>
          <w:i/>
          <w:iCs/>
          <w:sz w:val="22"/>
          <w:szCs w:val="22"/>
        </w:rPr>
        <w:t>III - fiança bancária emitida por banco ou instituição financeira devidamente autorizada a operar no País pelo Banco Central do Brasil.</w:t>
      </w:r>
    </w:p>
    <w:p w14:paraId="09F34EE9">
      <w:pPr>
        <w:pStyle w:val="10"/>
        <w:spacing w:before="0" w:beforeAutospacing="0" w:after="0" w:afterAutospacing="0"/>
        <w:ind w:firstLine="708"/>
        <w:jc w:val="both"/>
        <w:rPr>
          <w:rFonts w:hint="default"/>
          <w:i/>
          <w:iCs/>
          <w:sz w:val="22"/>
          <w:szCs w:val="22"/>
        </w:rPr>
      </w:pPr>
    </w:p>
    <w:p w14:paraId="1752434B">
      <w:pPr>
        <w:pStyle w:val="10"/>
        <w:spacing w:before="0" w:beforeAutospacing="0" w:after="0" w:afterAutospacing="0"/>
        <w:ind w:firstLine="708"/>
        <w:jc w:val="both"/>
        <w:rPr>
          <w:b/>
          <w:bCs/>
          <w:sz w:val="22"/>
          <w:szCs w:val="22"/>
          <w:highlight w:val="yellow"/>
        </w:rPr>
      </w:pPr>
      <w:bookmarkStart w:id="8" w:name="art96§1iv"/>
      <w:bookmarkEnd w:id="8"/>
      <w:r>
        <w:rPr>
          <w:rFonts w:hint="default"/>
          <w:i/>
          <w:iCs/>
          <w:sz w:val="22"/>
          <w:szCs w:val="22"/>
        </w:rPr>
        <w:t>IV - título de capitalização custeado por pagamento único, com resgate pelo valor total.   </w:t>
      </w:r>
      <w:r>
        <w:rPr>
          <w:rFonts w:hint="default"/>
          <w:i/>
          <w:iCs/>
          <w:sz w:val="22"/>
          <w:szCs w:val="22"/>
        </w:rPr>
        <w:fldChar w:fldCharType="begin"/>
      </w:r>
      <w:r>
        <w:rPr>
          <w:rFonts w:hint="default"/>
          <w:i/>
          <w:iCs/>
          <w:sz w:val="22"/>
          <w:szCs w:val="22"/>
        </w:rPr>
        <w:instrText xml:space="preserve"> HYPERLINK "https://www.planalto.gov.br/ccivil_03/_Ato2023-2026/2023/Lei/L14770.htm" \l "art1" </w:instrText>
      </w:r>
      <w:r>
        <w:rPr>
          <w:rFonts w:hint="default"/>
          <w:i/>
          <w:iCs/>
          <w:sz w:val="22"/>
          <w:szCs w:val="22"/>
        </w:rPr>
        <w:fldChar w:fldCharType="separate"/>
      </w:r>
      <w:r>
        <w:rPr>
          <w:rFonts w:hint="default"/>
          <w:i/>
          <w:iCs/>
          <w:sz w:val="22"/>
          <w:szCs w:val="22"/>
        </w:rPr>
        <w:t>(Incluído pela Lei nº 14.770, de 2023)</w:t>
      </w:r>
      <w:r>
        <w:rPr>
          <w:rFonts w:hint="default"/>
          <w:i/>
          <w:iCs/>
          <w:sz w:val="22"/>
          <w:szCs w:val="22"/>
        </w:rPr>
        <w:fldChar w:fldCharType="end"/>
      </w:r>
    </w:p>
    <w:p w14:paraId="488AB732">
      <w:pPr>
        <w:pStyle w:val="10"/>
        <w:spacing w:before="0" w:beforeAutospacing="0" w:after="0" w:afterAutospacing="0"/>
        <w:jc w:val="both"/>
        <w:rPr>
          <w:sz w:val="22"/>
          <w:szCs w:val="22"/>
        </w:rPr>
      </w:pPr>
    </w:p>
    <w:p w14:paraId="2D09F1D3">
      <w:pPr>
        <w:pStyle w:val="9"/>
        <w:numPr>
          <w:ilvl w:val="0"/>
          <w:numId w:val="0"/>
        </w:numPr>
        <w:ind w:left="486" w:hanging="486"/>
        <w:rPr>
          <w:color w:val="FF0000"/>
          <w:sz w:val="22"/>
          <w:szCs w:val="22"/>
        </w:rPr>
      </w:pPr>
    </w:p>
    <w:p w14:paraId="718EE6C5">
      <w:pPr>
        <w:pStyle w:val="9"/>
        <w:numPr>
          <w:ilvl w:val="0"/>
          <w:numId w:val="0"/>
        </w:numPr>
        <w:ind w:left="486" w:hanging="486"/>
        <w:rPr>
          <w:b/>
          <w:bCs/>
          <w:sz w:val="22"/>
          <w:szCs w:val="22"/>
        </w:rPr>
      </w:pPr>
      <w:r>
        <w:rPr>
          <w:b/>
          <w:bCs/>
          <w:sz w:val="22"/>
          <w:szCs w:val="22"/>
        </w:rPr>
        <w:t>14. VISTORIA:</w:t>
      </w:r>
    </w:p>
    <w:p w14:paraId="1237F979">
      <w:pPr>
        <w:pStyle w:val="9"/>
        <w:numPr>
          <w:ilvl w:val="0"/>
          <w:numId w:val="0"/>
        </w:numPr>
        <w:ind w:left="708"/>
        <w:rPr>
          <w:color w:val="FF0000"/>
          <w:sz w:val="22"/>
          <w:szCs w:val="22"/>
        </w:rPr>
      </w:pPr>
    </w:p>
    <w:p w14:paraId="66ACD2E7">
      <w:pPr>
        <w:jc w:val="both"/>
        <w:rPr>
          <w:sz w:val="22"/>
          <w:szCs w:val="22"/>
        </w:rPr>
      </w:pPr>
      <w:r>
        <w:rPr>
          <w:sz w:val="22"/>
          <w:szCs w:val="22"/>
        </w:rPr>
        <w:t>14.1.Atualmente a legislação prevê como facultativa a realização da visita técnica de obra, podendo a mesma ser renunciada, mediante apresentação de declaração da mesma para tal. Caso a mesma opte pela realização da Visita Técnica, a mesma deverá agendar junto a Secretaria Municipal de Obras Saneamento</w:t>
      </w:r>
      <w:r>
        <w:rPr>
          <w:rFonts w:hint="default"/>
          <w:sz w:val="22"/>
          <w:szCs w:val="22"/>
          <w:lang w:val="pt-BR"/>
        </w:rPr>
        <w:t xml:space="preserve">, </w:t>
      </w:r>
      <w:r>
        <w:rPr>
          <w:sz w:val="22"/>
          <w:szCs w:val="22"/>
        </w:rPr>
        <w:t>Urbanismo</w:t>
      </w:r>
      <w:r>
        <w:rPr>
          <w:rFonts w:hint="default"/>
          <w:sz w:val="22"/>
          <w:szCs w:val="22"/>
          <w:lang w:val="pt-BR"/>
        </w:rPr>
        <w:t xml:space="preserve"> e Conservação</w:t>
      </w:r>
      <w:r>
        <w:rPr>
          <w:sz w:val="22"/>
          <w:szCs w:val="22"/>
        </w:rPr>
        <w:t>, que disponibilizará ao interessado o direito de realização de vistoria prévia, acompanhado por servidor designado para esse fim, de segunda à sexta-feira, das 09 horas às 16 horas.  </w:t>
      </w:r>
    </w:p>
    <w:p w14:paraId="0F23CD86">
      <w:pPr>
        <w:jc w:val="both"/>
        <w:rPr>
          <w:sz w:val="22"/>
          <w:szCs w:val="22"/>
        </w:rPr>
      </w:pPr>
    </w:p>
    <w:p w14:paraId="6B904CD8">
      <w:pPr>
        <w:jc w:val="both"/>
        <w:rPr>
          <w:sz w:val="22"/>
          <w:szCs w:val="22"/>
        </w:rPr>
      </w:pPr>
      <w:r>
        <w:rPr>
          <w:sz w:val="22"/>
          <w:szCs w:val="22"/>
        </w:rPr>
        <w:t>14.2.Serão disponibilizados data e horário diferentes aos interessados em realizar a vistoria prévia. </w:t>
      </w:r>
    </w:p>
    <w:p w14:paraId="56BB8E5B">
      <w:pPr>
        <w:jc w:val="both"/>
        <w:rPr>
          <w:sz w:val="22"/>
          <w:szCs w:val="22"/>
        </w:rPr>
      </w:pPr>
    </w:p>
    <w:p w14:paraId="19E0D908">
      <w:pPr>
        <w:jc w:val="both"/>
        <w:rPr>
          <w:sz w:val="22"/>
          <w:szCs w:val="22"/>
        </w:rPr>
      </w:pPr>
      <w:r>
        <w:rPr>
          <w:sz w:val="22"/>
          <w:szCs w:val="22"/>
        </w:rPr>
        <w:t xml:space="preserve">14.3.Para a vistoria, o representante legal da empresa ou responsável técnico deverá estar devidamente identificado, apresentando documento de identidade civil e documento expedido pela empresa comprovando sua habilitação para a realização da vistoria. </w:t>
      </w:r>
    </w:p>
    <w:p w14:paraId="61F2C45F">
      <w:pPr>
        <w:jc w:val="both"/>
        <w:rPr>
          <w:sz w:val="22"/>
          <w:szCs w:val="22"/>
        </w:rPr>
      </w:pPr>
    </w:p>
    <w:p w14:paraId="396460C1">
      <w:pPr>
        <w:jc w:val="both"/>
        <w:rPr>
          <w:sz w:val="22"/>
          <w:szCs w:val="22"/>
        </w:rPr>
      </w:pPr>
      <w:r>
        <w:rPr>
          <w:sz w:val="22"/>
          <w:szCs w:val="22"/>
        </w:rPr>
        <w:t xml:space="preserve">14.4.Caso o licitante opte por não realizar a vistoria, deverá prestar declaração formal assinada pelo responsável técnico do licitante acerca do conhecimento pleno das condições e peculiaridades da contratação. </w:t>
      </w:r>
    </w:p>
    <w:p w14:paraId="5AE0A9B3">
      <w:pPr>
        <w:jc w:val="both"/>
        <w:rPr>
          <w:sz w:val="22"/>
          <w:szCs w:val="22"/>
        </w:rPr>
      </w:pPr>
    </w:p>
    <w:p w14:paraId="462B5E80">
      <w:pPr>
        <w:jc w:val="both"/>
        <w:rPr>
          <w:sz w:val="22"/>
          <w:szCs w:val="22"/>
        </w:rPr>
      </w:pPr>
      <w:r>
        <w:rPr>
          <w:sz w:val="22"/>
          <w:szCs w:val="22"/>
        </w:rPr>
        <w:t>14.5.A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2644FF77">
      <w:pPr>
        <w:numPr>
          <w:ilvl w:val="0"/>
          <w:numId w:val="0"/>
        </w:numPr>
        <w:spacing w:line="360" w:lineRule="auto"/>
        <w:ind w:left="567" w:leftChars="0"/>
        <w:jc w:val="both"/>
        <w:rPr>
          <w:sz w:val="22"/>
          <w:szCs w:val="22"/>
          <w:lang w:eastAsia="en-US"/>
        </w:rPr>
      </w:pPr>
    </w:p>
    <w:p w14:paraId="53FEF8F0">
      <w:pPr>
        <w:pStyle w:val="10"/>
        <w:spacing w:before="0" w:beforeAutospacing="0" w:after="0" w:afterAutospacing="0"/>
        <w:jc w:val="both"/>
        <w:rPr>
          <w:b/>
          <w:bCs/>
          <w:sz w:val="22"/>
          <w:szCs w:val="22"/>
        </w:rPr>
      </w:pPr>
      <w:r>
        <w:rPr>
          <w:b/>
          <w:bCs/>
          <w:sz w:val="22"/>
          <w:szCs w:val="22"/>
        </w:rPr>
        <w:t>15 – GESTÃO E FISCALIZAÇÃO DO CONTRATO:</w:t>
      </w:r>
    </w:p>
    <w:p w14:paraId="77A103EC">
      <w:pPr>
        <w:pStyle w:val="10"/>
        <w:spacing w:before="0" w:beforeAutospacing="0" w:after="0" w:afterAutospacing="0"/>
        <w:jc w:val="both"/>
        <w:rPr>
          <w:b/>
          <w:bCs/>
          <w:sz w:val="22"/>
          <w:szCs w:val="22"/>
        </w:rPr>
      </w:pPr>
    </w:p>
    <w:p w14:paraId="04679280">
      <w:pPr>
        <w:pStyle w:val="10"/>
        <w:spacing w:before="0" w:beforeAutospacing="0" w:after="0" w:afterAutospacing="0"/>
        <w:ind w:firstLine="708"/>
        <w:jc w:val="both"/>
        <w:rPr>
          <w:sz w:val="22"/>
          <w:szCs w:val="22"/>
        </w:rPr>
      </w:pPr>
      <w:r>
        <w:rPr>
          <w:sz w:val="22"/>
          <w:szCs w:val="22"/>
        </w:rPr>
        <w:t>15.1 – A gestão e fiscalização do contrato serão realizadas em conformidade com o art. 117, §1º da Lei nº 14.133 de 2021 e Decreto Municipal nº 5.022 de 2024.</w:t>
      </w:r>
    </w:p>
    <w:p w14:paraId="146BEFF3">
      <w:pPr>
        <w:pStyle w:val="10"/>
        <w:spacing w:before="0" w:beforeAutospacing="0" w:after="0" w:afterAutospacing="0"/>
        <w:jc w:val="both"/>
        <w:rPr>
          <w:sz w:val="22"/>
          <w:szCs w:val="22"/>
        </w:rPr>
      </w:pPr>
    </w:p>
    <w:p w14:paraId="0BE100A4">
      <w:pPr>
        <w:pStyle w:val="31"/>
        <w:numPr>
          <w:ilvl w:val="0"/>
          <w:numId w:val="0"/>
        </w:numPr>
        <w:spacing w:before="0" w:after="0" w:line="240" w:lineRule="auto"/>
        <w:ind w:firstLine="708"/>
        <w:rPr>
          <w:rFonts w:ascii="Times New Roman" w:hAnsi="Times New Roman" w:cs="Times New Roman"/>
          <w:i w:val="0"/>
          <w:iCs w:val="0"/>
          <w:color w:val="auto"/>
          <w:sz w:val="22"/>
          <w:szCs w:val="22"/>
        </w:rPr>
      </w:pPr>
      <w:r>
        <w:rPr>
          <w:rFonts w:ascii="Times New Roman" w:hAnsi="Times New Roman" w:cs="Times New Roman"/>
          <w:i w:val="0"/>
          <w:iCs w:val="0"/>
          <w:color w:val="auto"/>
          <w:sz w:val="22"/>
          <w:szCs w:val="22"/>
        </w:rPr>
        <w:t>15.2 – Cabe ao Gestor do contrato a coordenação das atividades relacionadas à fiscalização técnica e administrativa e dos atos preparatórios à instrução processual e ao encaminhamento da documentação pertinente ao setor de contratos para a formalização dos procedimentos relativos à prorrogação, à alteração, ao reequilíbrio, ao pagamento, à eventual aplicação de sanções e à extinção dos contratos, entre outros;</w:t>
      </w:r>
    </w:p>
    <w:p w14:paraId="51E2525E">
      <w:pPr>
        <w:pStyle w:val="31"/>
        <w:numPr>
          <w:ilvl w:val="0"/>
          <w:numId w:val="0"/>
        </w:numPr>
        <w:spacing w:before="0" w:after="0" w:line="240" w:lineRule="auto"/>
        <w:ind w:firstLine="708"/>
        <w:rPr>
          <w:rFonts w:ascii="Times New Roman" w:hAnsi="Times New Roman" w:cs="Times New Roman"/>
          <w:i w:val="0"/>
          <w:iCs w:val="0"/>
          <w:color w:val="auto"/>
          <w:sz w:val="22"/>
          <w:szCs w:val="22"/>
        </w:rPr>
      </w:pPr>
    </w:p>
    <w:p w14:paraId="727EC23A">
      <w:pPr>
        <w:pStyle w:val="31"/>
        <w:numPr>
          <w:ilvl w:val="0"/>
          <w:numId w:val="0"/>
        </w:numPr>
        <w:spacing w:before="0" w:after="0" w:line="240" w:lineRule="auto"/>
        <w:ind w:firstLine="708"/>
        <w:rPr>
          <w:rFonts w:ascii="Times New Roman" w:hAnsi="Times New Roman" w:cs="Times New Roman"/>
          <w:i w:val="0"/>
          <w:iCs w:val="0"/>
          <w:color w:val="auto"/>
          <w:sz w:val="22"/>
          <w:szCs w:val="22"/>
        </w:rPr>
      </w:pPr>
      <w:r>
        <w:rPr>
          <w:rFonts w:ascii="Times New Roman" w:hAnsi="Times New Roman" w:cs="Times New Roman"/>
          <w:i w:val="0"/>
          <w:iCs w:val="0"/>
          <w:color w:val="auto"/>
          <w:sz w:val="22"/>
          <w:szCs w:val="22"/>
        </w:rPr>
        <w:t>15.3 – Cabe ao Fiscal Técnico o acompanhamento do contrato com o objetivo de avaliar a execução do objeto nos moldes contratados e, se for o caso, aferir se a quantidade, a qualidade, o tempo e o modo da prestação ou da execução do objeto estão compatíveis com os indicadores estabelecidos no edital, para fins de pagamento, conforme o resultado pretendido pela Administração, com o eventual auxílio da fiscalização administrativa;</w:t>
      </w:r>
    </w:p>
    <w:p w14:paraId="03EE225C">
      <w:pPr>
        <w:pStyle w:val="31"/>
        <w:numPr>
          <w:ilvl w:val="0"/>
          <w:numId w:val="0"/>
        </w:numPr>
        <w:spacing w:before="0" w:after="0" w:line="240" w:lineRule="auto"/>
        <w:ind w:firstLine="708"/>
        <w:rPr>
          <w:rFonts w:ascii="Times New Roman" w:hAnsi="Times New Roman" w:cs="Times New Roman"/>
          <w:i w:val="0"/>
          <w:iCs w:val="0"/>
          <w:color w:val="auto"/>
          <w:sz w:val="22"/>
          <w:szCs w:val="22"/>
        </w:rPr>
      </w:pPr>
    </w:p>
    <w:p w14:paraId="61A8DD7D">
      <w:pPr>
        <w:pStyle w:val="31"/>
        <w:numPr>
          <w:ilvl w:val="0"/>
          <w:numId w:val="0"/>
        </w:numPr>
        <w:spacing w:before="0" w:after="0" w:line="240" w:lineRule="auto"/>
        <w:ind w:firstLine="708"/>
        <w:rPr>
          <w:rFonts w:ascii="Times New Roman" w:hAnsi="Times New Roman" w:cs="Times New Roman"/>
          <w:i w:val="0"/>
          <w:iCs w:val="0"/>
          <w:color w:val="auto"/>
          <w:sz w:val="22"/>
          <w:szCs w:val="22"/>
        </w:rPr>
      </w:pPr>
      <w:r>
        <w:rPr>
          <w:rFonts w:ascii="Times New Roman" w:hAnsi="Times New Roman" w:cs="Times New Roman"/>
          <w:i w:val="0"/>
          <w:iCs w:val="0"/>
          <w:color w:val="auto"/>
          <w:sz w:val="22"/>
          <w:szCs w:val="22"/>
        </w:rPr>
        <w:t>15.4 – Cabe ao Fiscal Administrativo o acompanhamento dos aspectos administrativos contratuais quanto às obrigações previdenciárias, fiscais e trabalhistas e quanto ao controle do contrato administrativo no que se refere a revisões, a reajustes, a repactuações e a providências tempestivas nas hipóteses de inadimplemento;</w:t>
      </w:r>
    </w:p>
    <w:p w14:paraId="2645FBD9">
      <w:pPr>
        <w:pStyle w:val="31"/>
        <w:numPr>
          <w:ilvl w:val="0"/>
          <w:numId w:val="0"/>
        </w:numPr>
        <w:spacing w:before="0" w:after="0" w:line="240" w:lineRule="auto"/>
        <w:ind w:firstLine="708"/>
        <w:rPr>
          <w:rFonts w:ascii="Times New Roman" w:hAnsi="Times New Roman" w:cs="Times New Roman"/>
          <w:i w:val="0"/>
          <w:iCs w:val="0"/>
          <w:color w:val="auto"/>
          <w:sz w:val="22"/>
          <w:szCs w:val="22"/>
        </w:rPr>
      </w:pPr>
    </w:p>
    <w:p w14:paraId="65DB7BD6">
      <w:pPr>
        <w:pStyle w:val="31"/>
        <w:numPr>
          <w:ilvl w:val="0"/>
          <w:numId w:val="0"/>
        </w:numPr>
        <w:spacing w:before="0" w:after="0" w:line="240" w:lineRule="auto"/>
        <w:ind w:firstLine="708"/>
        <w:rPr>
          <w:rFonts w:ascii="Times New Roman" w:hAnsi="Times New Roman" w:cs="Times New Roman"/>
          <w:i w:val="0"/>
          <w:iCs w:val="0"/>
          <w:color w:val="auto"/>
          <w:sz w:val="22"/>
          <w:szCs w:val="22"/>
        </w:rPr>
      </w:pPr>
      <w:r>
        <w:rPr>
          <w:rFonts w:ascii="Times New Roman" w:hAnsi="Times New Roman" w:cs="Times New Roman"/>
          <w:i w:val="0"/>
          <w:iCs w:val="0"/>
          <w:color w:val="auto"/>
          <w:sz w:val="22"/>
          <w:szCs w:val="22"/>
        </w:rPr>
        <w:t xml:space="preserve">15.5 – As atividades de gestão e de fiscalização dos contratos deverão ser realizadas de forma preventiva, rotineira e sistemática e exercidas por agentes públicos, por equipe de fiscalização ou por agente público único, de acordo com a complexidade da contratação, assegurada a distinção das atividades. </w:t>
      </w:r>
    </w:p>
    <w:p w14:paraId="302AAFF0">
      <w:pPr>
        <w:pStyle w:val="31"/>
        <w:numPr>
          <w:ilvl w:val="0"/>
          <w:numId w:val="0"/>
        </w:numPr>
        <w:spacing w:before="0" w:after="0" w:line="240" w:lineRule="auto"/>
        <w:ind w:firstLine="708"/>
        <w:rPr>
          <w:rFonts w:ascii="Times New Roman" w:hAnsi="Times New Roman" w:cs="Times New Roman"/>
          <w:i w:val="0"/>
          <w:iCs w:val="0"/>
          <w:color w:val="auto"/>
          <w:sz w:val="22"/>
          <w:szCs w:val="22"/>
        </w:rPr>
      </w:pPr>
    </w:p>
    <w:p w14:paraId="70AC52F1">
      <w:pPr>
        <w:pStyle w:val="31"/>
        <w:numPr>
          <w:ilvl w:val="0"/>
          <w:numId w:val="0"/>
        </w:numPr>
        <w:spacing w:before="0" w:after="0" w:line="240" w:lineRule="auto"/>
        <w:ind w:firstLine="708"/>
        <w:rPr>
          <w:rFonts w:ascii="Times New Roman" w:hAnsi="Times New Roman" w:cs="Times New Roman"/>
          <w:i w:val="0"/>
          <w:iCs w:val="0"/>
          <w:color w:val="auto"/>
          <w:sz w:val="22"/>
          <w:szCs w:val="22"/>
        </w:rPr>
      </w:pPr>
      <w:r>
        <w:rPr>
          <w:rFonts w:ascii="Times New Roman" w:hAnsi="Times New Roman" w:cs="Times New Roman"/>
          <w:i w:val="0"/>
          <w:iCs w:val="0"/>
          <w:color w:val="auto"/>
          <w:sz w:val="22"/>
          <w:szCs w:val="22"/>
        </w:rPr>
        <w:t xml:space="preserve">15.6 – A distinção das atividades de que trata o parágrafo 1º não poderá comprometer o desempenho das ações relacionadas à gestão do contrato. </w:t>
      </w:r>
    </w:p>
    <w:p w14:paraId="16EB9062">
      <w:pPr>
        <w:pStyle w:val="31"/>
        <w:numPr>
          <w:ilvl w:val="0"/>
          <w:numId w:val="0"/>
        </w:numPr>
        <w:spacing w:before="0" w:after="0" w:line="240" w:lineRule="auto"/>
        <w:rPr>
          <w:rFonts w:ascii="Times New Roman" w:hAnsi="Times New Roman" w:cs="Times New Roman"/>
          <w:b/>
          <w:bCs/>
          <w:i w:val="0"/>
          <w:iCs w:val="0"/>
          <w:color w:val="auto"/>
          <w:sz w:val="22"/>
          <w:szCs w:val="22"/>
        </w:rPr>
      </w:pPr>
    </w:p>
    <w:p w14:paraId="4F118838">
      <w:pPr>
        <w:pStyle w:val="10"/>
        <w:spacing w:before="0" w:beforeAutospacing="0" w:after="0" w:afterAutospacing="0"/>
        <w:jc w:val="both"/>
        <w:rPr>
          <w:b/>
          <w:bCs/>
          <w:sz w:val="22"/>
          <w:szCs w:val="22"/>
        </w:rPr>
      </w:pPr>
      <w:r>
        <w:rPr>
          <w:b/>
          <w:bCs/>
          <w:sz w:val="22"/>
          <w:szCs w:val="22"/>
        </w:rPr>
        <w:t>16 – DA DESIGNAÇÃO PARA CONTROLE E FISCALIZAÇÃO DA EXECUÇÃO DO CONTRATO:</w:t>
      </w:r>
    </w:p>
    <w:p w14:paraId="6EA3B6AA">
      <w:pPr>
        <w:pStyle w:val="10"/>
        <w:spacing w:before="0" w:beforeAutospacing="0" w:after="0" w:afterAutospacing="0"/>
        <w:jc w:val="both"/>
        <w:rPr>
          <w:b/>
          <w:bCs/>
          <w:sz w:val="22"/>
          <w:szCs w:val="22"/>
        </w:rPr>
      </w:pPr>
    </w:p>
    <w:p w14:paraId="35464FF8">
      <w:pPr>
        <w:pStyle w:val="9"/>
        <w:numPr>
          <w:ilvl w:val="0"/>
          <w:numId w:val="0"/>
        </w:numPr>
        <w:rPr>
          <w:sz w:val="22"/>
          <w:szCs w:val="22"/>
        </w:rPr>
      </w:pPr>
      <w:r>
        <w:rPr>
          <w:b/>
          <w:bCs/>
          <w:sz w:val="22"/>
          <w:szCs w:val="22"/>
        </w:rPr>
        <w:tab/>
      </w:r>
      <w:bookmarkStart w:id="9" w:name="_Hlk128139776"/>
      <w:r>
        <w:rPr>
          <w:sz w:val="22"/>
          <w:szCs w:val="22"/>
        </w:rPr>
        <w:t>16.1 – Os Gestores e Fiscais do contrato serão designados pela autoridade máxima do órgão ou da entidade, ou a quem as normas de organização administrativa indicarem, na f</w:t>
      </w:r>
      <w:r>
        <w:rPr>
          <w:color w:val="auto"/>
          <w:sz w:val="22"/>
          <w:szCs w:val="22"/>
        </w:rPr>
        <w:t xml:space="preserve">orma </w:t>
      </w:r>
      <w:r>
        <w:rPr>
          <w:color w:val="auto"/>
        </w:rPr>
        <w:fldChar w:fldCharType="begin"/>
      </w:r>
      <w:r>
        <w:rPr>
          <w:color w:val="auto"/>
        </w:rPr>
        <w:instrText xml:space="preserve"> HYPERLINK "http://www.planalto.gov.br/ccivil_03/_ato2019-2022/2021/lei/L14133.htm" </w:instrText>
      </w:r>
      <w:r>
        <w:rPr>
          <w:color w:val="auto"/>
        </w:rPr>
        <w:fldChar w:fldCharType="separate"/>
      </w:r>
      <w:r>
        <w:rPr>
          <w:rStyle w:val="8"/>
          <w:color w:val="auto"/>
          <w:sz w:val="22"/>
          <w:szCs w:val="22"/>
        </w:rPr>
        <w:t>art. 7º da Lei nº 14.133, de 2021</w:t>
      </w:r>
      <w:r>
        <w:rPr>
          <w:rStyle w:val="8"/>
          <w:color w:val="auto"/>
          <w:sz w:val="22"/>
          <w:szCs w:val="22"/>
        </w:rPr>
        <w:fldChar w:fldCharType="end"/>
      </w:r>
      <w:r>
        <w:rPr>
          <w:rStyle w:val="8"/>
          <w:color w:val="auto"/>
          <w:sz w:val="22"/>
          <w:szCs w:val="22"/>
        </w:rPr>
        <w:t xml:space="preserve"> e do art. 29 do Decreto Municipal nº 5.022 de 2024</w:t>
      </w:r>
      <w:r>
        <w:rPr>
          <w:color w:val="auto"/>
          <w:sz w:val="22"/>
          <w:szCs w:val="22"/>
        </w:rPr>
        <w:t xml:space="preserve">, devendo a </w:t>
      </w:r>
      <w:r>
        <w:rPr>
          <w:sz w:val="22"/>
          <w:szCs w:val="22"/>
        </w:rPr>
        <w:t>Administração instruir os autos com as publicações dos atos de designação dos agentes públicos para o exercício dessas funções.</w:t>
      </w:r>
    </w:p>
    <w:p w14:paraId="6576BAC1">
      <w:pPr>
        <w:pStyle w:val="9"/>
        <w:numPr>
          <w:ilvl w:val="0"/>
          <w:numId w:val="0"/>
        </w:numPr>
        <w:rPr>
          <w:sz w:val="22"/>
          <w:szCs w:val="22"/>
          <w:highlight w:val="none"/>
        </w:rPr>
      </w:pPr>
    </w:p>
    <w:p w14:paraId="16E759E7">
      <w:pPr>
        <w:pStyle w:val="9"/>
        <w:numPr>
          <w:ilvl w:val="0"/>
          <w:numId w:val="0"/>
        </w:numPr>
        <w:rPr>
          <w:sz w:val="22"/>
          <w:szCs w:val="22"/>
          <w:highlight w:val="none"/>
        </w:rPr>
      </w:pPr>
      <w:r>
        <w:rPr>
          <w:sz w:val="22"/>
          <w:szCs w:val="22"/>
          <w:highlight w:val="none"/>
        </w:rPr>
        <w:tab/>
      </w:r>
      <w:r>
        <w:rPr>
          <w:sz w:val="22"/>
          <w:szCs w:val="22"/>
          <w:highlight w:val="none"/>
        </w:rPr>
        <w:t>INDICAÇÕES:</w:t>
      </w:r>
    </w:p>
    <w:p w14:paraId="4470B9F3">
      <w:pPr>
        <w:pStyle w:val="9"/>
        <w:numPr>
          <w:ilvl w:val="0"/>
          <w:numId w:val="0"/>
        </w:numPr>
        <w:rPr>
          <w:sz w:val="22"/>
          <w:szCs w:val="22"/>
          <w:highlight w:val="none"/>
        </w:rPr>
      </w:pPr>
    </w:p>
    <w:p w14:paraId="339A809C">
      <w:pPr>
        <w:pStyle w:val="9"/>
        <w:numPr>
          <w:ilvl w:val="0"/>
          <w:numId w:val="0"/>
        </w:numPr>
        <w:jc w:val="left"/>
        <w:rPr>
          <w:sz w:val="22"/>
          <w:szCs w:val="22"/>
          <w:highlight w:val="none"/>
        </w:rPr>
      </w:pPr>
      <w:r>
        <w:rPr>
          <w:sz w:val="22"/>
          <w:szCs w:val="22"/>
          <w:highlight w:val="none"/>
        </w:rPr>
        <w:t xml:space="preserve">GESTOR DO CONTRATO: </w:t>
      </w:r>
      <w:r>
        <w:rPr>
          <w:rFonts w:hint="default"/>
          <w:sz w:val="22"/>
          <w:szCs w:val="22"/>
          <w:highlight w:val="none"/>
          <w:lang w:val="pt-BR"/>
        </w:rPr>
        <w:t xml:space="preserve">Luiz Fernando Muzzi de Miranda, MATRÍCULA 72807, </w:t>
      </w:r>
      <w:r>
        <w:rPr>
          <w:sz w:val="22"/>
          <w:szCs w:val="22"/>
          <w:highlight w:val="none"/>
        </w:rPr>
        <w:t>CPF 804.722.817-04</w:t>
      </w:r>
    </w:p>
    <w:p w14:paraId="6E2561ED">
      <w:pPr>
        <w:pStyle w:val="9"/>
        <w:numPr>
          <w:ilvl w:val="0"/>
          <w:numId w:val="0"/>
        </w:numPr>
        <w:jc w:val="left"/>
        <w:rPr>
          <w:rFonts w:hint="default"/>
          <w:sz w:val="22"/>
          <w:szCs w:val="22"/>
          <w:highlight w:val="none"/>
          <w:lang w:val="pt-BR"/>
        </w:rPr>
      </w:pPr>
    </w:p>
    <w:p w14:paraId="3359A079">
      <w:pPr>
        <w:pStyle w:val="9"/>
        <w:numPr>
          <w:ilvl w:val="0"/>
          <w:numId w:val="0"/>
        </w:numPr>
        <w:jc w:val="left"/>
        <w:rPr>
          <w:rFonts w:hint="default"/>
          <w:sz w:val="22"/>
          <w:szCs w:val="22"/>
          <w:highlight w:val="none"/>
          <w:lang w:val="pt-BR"/>
        </w:rPr>
      </w:pPr>
      <w:r>
        <w:rPr>
          <w:sz w:val="22"/>
          <w:szCs w:val="22"/>
          <w:highlight w:val="none"/>
        </w:rPr>
        <w:t xml:space="preserve">FISCAL TÉCNICO: </w:t>
      </w:r>
      <w:r>
        <w:rPr>
          <w:rFonts w:hint="default"/>
          <w:sz w:val="22"/>
          <w:szCs w:val="22"/>
          <w:highlight w:val="none"/>
          <w:lang w:val="pt-BR"/>
        </w:rPr>
        <w:t>Otávio Artur Pereira Machado, MATRÍCULA 72941, CPF 15468382792 e Masahiro Ito, MATRÍCULA 19122, CPF 841.712.277-04.</w:t>
      </w:r>
    </w:p>
    <w:p w14:paraId="2A6E8390">
      <w:pPr>
        <w:pStyle w:val="9"/>
        <w:numPr>
          <w:ilvl w:val="0"/>
          <w:numId w:val="0"/>
        </w:numPr>
        <w:jc w:val="left"/>
        <w:rPr>
          <w:rFonts w:hint="default"/>
          <w:sz w:val="22"/>
          <w:szCs w:val="22"/>
          <w:highlight w:val="none"/>
          <w:lang w:val="pt-BR"/>
        </w:rPr>
      </w:pPr>
    </w:p>
    <w:p w14:paraId="05AC8CE2">
      <w:pPr>
        <w:pStyle w:val="9"/>
        <w:numPr>
          <w:ilvl w:val="0"/>
          <w:numId w:val="0"/>
        </w:numPr>
        <w:jc w:val="left"/>
        <w:rPr>
          <w:sz w:val="22"/>
          <w:szCs w:val="22"/>
          <w:highlight w:val="none"/>
        </w:rPr>
      </w:pPr>
      <w:r>
        <w:rPr>
          <w:sz w:val="22"/>
          <w:szCs w:val="22"/>
          <w:highlight w:val="none"/>
        </w:rPr>
        <w:t>FISCAL ADMINISTRATIVO: Dryellen Maria Anselmé Teixeira Matrícula: 72343 e CPF: 188.180.297-38.</w:t>
      </w:r>
    </w:p>
    <w:p w14:paraId="1B5F7E1A">
      <w:pPr>
        <w:pStyle w:val="9"/>
        <w:numPr>
          <w:ilvl w:val="0"/>
          <w:numId w:val="0"/>
        </w:numPr>
        <w:rPr>
          <w:sz w:val="22"/>
          <w:szCs w:val="22"/>
        </w:rPr>
      </w:pPr>
    </w:p>
    <w:p w14:paraId="1E60D4C0">
      <w:pPr>
        <w:pStyle w:val="9"/>
        <w:numPr>
          <w:ilvl w:val="0"/>
          <w:numId w:val="0"/>
        </w:numPr>
        <w:rPr>
          <w:sz w:val="22"/>
          <w:szCs w:val="22"/>
        </w:rPr>
      </w:pPr>
    </w:p>
    <w:p w14:paraId="3046657A">
      <w:pPr>
        <w:pStyle w:val="31"/>
        <w:numPr>
          <w:ilvl w:val="0"/>
          <w:numId w:val="0"/>
        </w:numPr>
        <w:spacing w:before="0" w:after="0" w:line="240" w:lineRule="auto"/>
        <w:rPr>
          <w:rFonts w:ascii="Times New Roman" w:hAnsi="Times New Roman" w:cs="Times New Roman"/>
          <w:b/>
          <w:bCs/>
          <w:i w:val="0"/>
          <w:iCs w:val="0"/>
          <w:color w:val="auto"/>
          <w:sz w:val="22"/>
          <w:szCs w:val="22"/>
        </w:rPr>
      </w:pPr>
      <w:r>
        <w:rPr>
          <w:rFonts w:ascii="Times New Roman" w:hAnsi="Times New Roman" w:cs="Times New Roman"/>
          <w:b/>
          <w:bCs/>
          <w:i w:val="0"/>
          <w:iCs w:val="0"/>
          <w:color w:val="auto"/>
          <w:sz w:val="22"/>
          <w:szCs w:val="22"/>
        </w:rPr>
        <w:t>17 – OBRIGAÇÕES GERAIS DO CONTRATANTE:</w:t>
      </w:r>
    </w:p>
    <w:p w14:paraId="792A3DCC">
      <w:pPr>
        <w:pStyle w:val="31"/>
        <w:numPr>
          <w:ilvl w:val="0"/>
          <w:numId w:val="0"/>
        </w:numPr>
        <w:rPr>
          <w:rFonts w:ascii="Times New Roman" w:hAnsi="Times New Roman" w:cs="Times New Roman"/>
          <w:i w:val="0"/>
          <w:iCs w:val="0"/>
          <w:color w:val="auto"/>
          <w:sz w:val="22"/>
          <w:szCs w:val="22"/>
        </w:rPr>
      </w:pPr>
      <w:r>
        <w:rPr>
          <w:rFonts w:ascii="Times New Roman" w:hAnsi="Times New Roman" w:cs="Times New Roman"/>
          <w:i w:val="0"/>
          <w:iCs w:val="0"/>
          <w:color w:val="auto"/>
          <w:sz w:val="22"/>
          <w:szCs w:val="22"/>
        </w:rPr>
        <w:t>Constituem obrigações da contratante:</w:t>
      </w:r>
    </w:p>
    <w:p w14:paraId="0D5F9609">
      <w:pPr>
        <w:pStyle w:val="31"/>
        <w:numPr>
          <w:ilvl w:val="0"/>
          <w:numId w:val="0"/>
        </w:numPr>
        <w:rPr>
          <w:rFonts w:ascii="Times New Roman" w:hAnsi="Times New Roman" w:cs="Times New Roman"/>
          <w:i w:val="0"/>
          <w:iCs w:val="0"/>
          <w:color w:val="auto"/>
          <w:sz w:val="22"/>
          <w:szCs w:val="22"/>
        </w:rPr>
      </w:pPr>
      <w:r>
        <w:rPr>
          <w:rFonts w:ascii="Times New Roman" w:hAnsi="Times New Roman" w:cs="Times New Roman"/>
          <w:b/>
          <w:bCs/>
          <w:i w:val="0"/>
          <w:iCs w:val="0"/>
          <w:color w:val="auto"/>
          <w:sz w:val="22"/>
          <w:szCs w:val="22"/>
        </w:rPr>
        <w:t xml:space="preserve">17.1. </w:t>
      </w:r>
      <w:r>
        <w:rPr>
          <w:rFonts w:ascii="Times New Roman" w:hAnsi="Times New Roman" w:eastAsia="Times New Roman" w:cs="Times New Roman"/>
          <w:i w:val="0"/>
          <w:iCs w:val="0"/>
          <w:color w:val="auto"/>
          <w:sz w:val="22"/>
          <w:szCs w:val="22"/>
          <w:highlight w:val="none"/>
          <w:lang w:val="pt-BR" w:eastAsia="pt-BR" w:bidi="ar-SA"/>
        </w:rPr>
        <w:t xml:space="preserve"> Exercer a fiscalização da execução do objeto licitado, coordenar as ações de utilização dos equipamentos e material;</w:t>
      </w:r>
    </w:p>
    <w:p w14:paraId="270B9E87">
      <w:pPr>
        <w:pStyle w:val="31"/>
        <w:numPr>
          <w:ilvl w:val="0"/>
          <w:numId w:val="0"/>
        </w:numPr>
        <w:rPr>
          <w:rFonts w:ascii="Times New Roman" w:hAnsi="Times New Roman" w:cs="Times New Roman"/>
          <w:i w:val="0"/>
          <w:iCs w:val="0"/>
          <w:color w:val="auto"/>
          <w:sz w:val="22"/>
          <w:szCs w:val="22"/>
        </w:rPr>
      </w:pPr>
      <w:r>
        <w:rPr>
          <w:rFonts w:ascii="Times New Roman" w:hAnsi="Times New Roman" w:cs="Times New Roman"/>
          <w:b/>
          <w:bCs/>
          <w:i w:val="0"/>
          <w:iCs w:val="0"/>
          <w:color w:val="auto"/>
          <w:sz w:val="22"/>
          <w:szCs w:val="22"/>
        </w:rPr>
        <w:t>17.2.</w:t>
      </w:r>
      <w:r>
        <w:rPr>
          <w:rFonts w:ascii="Times New Roman" w:hAnsi="Times New Roman" w:cs="Times New Roman"/>
          <w:i w:val="0"/>
          <w:iCs w:val="0"/>
          <w:color w:val="auto"/>
          <w:sz w:val="22"/>
          <w:szCs w:val="22"/>
        </w:rPr>
        <w:t xml:space="preserve"> Tomar todas as providências necessárias ao fiel cumprimento das cláusulas contratuais;</w:t>
      </w:r>
    </w:p>
    <w:p w14:paraId="03CD70EC">
      <w:pPr>
        <w:pStyle w:val="31"/>
        <w:numPr>
          <w:ilvl w:val="0"/>
          <w:numId w:val="0"/>
        </w:numPr>
        <w:rPr>
          <w:rFonts w:ascii="Times New Roman" w:hAnsi="Times New Roman" w:cs="Times New Roman"/>
          <w:i w:val="0"/>
          <w:iCs w:val="0"/>
          <w:color w:val="auto"/>
          <w:sz w:val="22"/>
          <w:szCs w:val="22"/>
        </w:rPr>
      </w:pPr>
      <w:r>
        <w:rPr>
          <w:rFonts w:ascii="Times New Roman" w:hAnsi="Times New Roman" w:cs="Times New Roman"/>
          <w:b/>
          <w:bCs/>
          <w:i w:val="0"/>
          <w:iCs w:val="0"/>
          <w:color w:val="auto"/>
          <w:sz w:val="22"/>
          <w:szCs w:val="22"/>
        </w:rPr>
        <w:t>17.3.</w:t>
      </w:r>
      <w:r>
        <w:rPr>
          <w:rFonts w:ascii="Times New Roman" w:hAnsi="Times New Roman" w:cs="Times New Roman"/>
          <w:i w:val="0"/>
          <w:iCs w:val="0"/>
          <w:color w:val="auto"/>
          <w:sz w:val="22"/>
          <w:szCs w:val="22"/>
        </w:rPr>
        <w:t xml:space="preserve"> Facilitar por todos os meios ao cumprimento da execução pela CONTRATADA, dando-lhe acesso e promovendo o bom entendimento entre seus funcionários e empregados da contratada, cumprindo com as obrigações pré-estabelecidas;</w:t>
      </w:r>
    </w:p>
    <w:p w14:paraId="7B71B2F8">
      <w:pPr>
        <w:pStyle w:val="31"/>
        <w:numPr>
          <w:ilvl w:val="0"/>
          <w:numId w:val="0"/>
        </w:numPr>
        <w:rPr>
          <w:rFonts w:ascii="Times New Roman" w:hAnsi="Times New Roman" w:cs="Times New Roman"/>
          <w:i w:val="0"/>
          <w:iCs w:val="0"/>
          <w:color w:val="auto"/>
          <w:sz w:val="22"/>
          <w:szCs w:val="22"/>
        </w:rPr>
      </w:pPr>
      <w:r>
        <w:rPr>
          <w:rFonts w:ascii="Times New Roman" w:hAnsi="Times New Roman" w:cs="Times New Roman"/>
          <w:b/>
          <w:bCs/>
          <w:i w:val="0"/>
          <w:iCs w:val="0"/>
          <w:color w:val="auto"/>
          <w:sz w:val="22"/>
          <w:szCs w:val="22"/>
        </w:rPr>
        <w:t>17.4.</w:t>
      </w:r>
      <w:r>
        <w:rPr>
          <w:rFonts w:ascii="Times New Roman" w:hAnsi="Times New Roman" w:cs="Times New Roman"/>
          <w:i w:val="0"/>
          <w:iCs w:val="0"/>
          <w:color w:val="auto"/>
          <w:sz w:val="22"/>
          <w:szCs w:val="22"/>
        </w:rPr>
        <w:t xml:space="preserve"> Comunicar por escrito à CONTRATADA qualquer irregularidade encontrada;</w:t>
      </w:r>
    </w:p>
    <w:p w14:paraId="53EBDEDC">
      <w:pPr>
        <w:pStyle w:val="31"/>
        <w:numPr>
          <w:ilvl w:val="0"/>
          <w:numId w:val="0"/>
        </w:numPr>
        <w:rPr>
          <w:rFonts w:ascii="Times New Roman" w:hAnsi="Times New Roman" w:cs="Times New Roman"/>
          <w:i w:val="0"/>
          <w:iCs w:val="0"/>
          <w:color w:val="auto"/>
          <w:sz w:val="22"/>
          <w:szCs w:val="22"/>
        </w:rPr>
      </w:pPr>
      <w:r>
        <w:rPr>
          <w:rFonts w:ascii="Times New Roman" w:hAnsi="Times New Roman" w:cs="Times New Roman"/>
          <w:b/>
          <w:bCs/>
          <w:i w:val="0"/>
          <w:iCs w:val="0"/>
          <w:color w:val="auto"/>
          <w:sz w:val="22"/>
          <w:szCs w:val="22"/>
        </w:rPr>
        <w:t>17.5.</w:t>
      </w:r>
      <w:r>
        <w:rPr>
          <w:rFonts w:ascii="Times New Roman" w:hAnsi="Times New Roman" w:cs="Times New Roman"/>
          <w:i w:val="0"/>
          <w:iCs w:val="0"/>
          <w:color w:val="auto"/>
          <w:sz w:val="22"/>
          <w:szCs w:val="22"/>
        </w:rPr>
        <w:t xml:space="preserve"> Analisar a nota fiscal para verificar se a mesma é destinada a Instituição e se as especificações são as mesmas descritas neste projeto básico;</w:t>
      </w:r>
    </w:p>
    <w:p w14:paraId="57986FE2">
      <w:pPr>
        <w:pStyle w:val="31"/>
        <w:numPr>
          <w:ilvl w:val="0"/>
          <w:numId w:val="0"/>
        </w:numPr>
        <w:rPr>
          <w:rFonts w:ascii="Times New Roman" w:hAnsi="Times New Roman" w:cs="Times New Roman"/>
          <w:i w:val="0"/>
          <w:iCs w:val="0"/>
          <w:color w:val="auto"/>
          <w:sz w:val="22"/>
          <w:szCs w:val="22"/>
        </w:rPr>
      </w:pPr>
      <w:r>
        <w:rPr>
          <w:rFonts w:ascii="Times New Roman" w:hAnsi="Times New Roman" w:cs="Times New Roman"/>
          <w:b/>
          <w:bCs/>
          <w:i w:val="0"/>
          <w:iCs w:val="0"/>
          <w:color w:val="auto"/>
          <w:sz w:val="22"/>
          <w:szCs w:val="22"/>
        </w:rPr>
        <w:t>17.6.</w:t>
      </w:r>
      <w:r>
        <w:rPr>
          <w:rFonts w:ascii="Times New Roman" w:hAnsi="Times New Roman" w:cs="Times New Roman"/>
          <w:i w:val="0"/>
          <w:iCs w:val="0"/>
          <w:color w:val="auto"/>
          <w:sz w:val="22"/>
          <w:szCs w:val="22"/>
        </w:rPr>
        <w:t xml:space="preserve"> </w:t>
      </w:r>
      <w:r>
        <w:rPr>
          <w:rFonts w:ascii="Times New Roman" w:hAnsi="Times New Roman" w:eastAsia="Times New Roman" w:cs="Times New Roman"/>
          <w:i w:val="0"/>
          <w:iCs w:val="0"/>
          <w:color w:val="auto"/>
          <w:sz w:val="22"/>
          <w:szCs w:val="22"/>
          <w:highlight w:val="none"/>
          <w:lang w:val="pt-BR" w:eastAsia="pt-BR" w:bidi="ar-SA"/>
        </w:rPr>
        <w:t>Comunicar por escrito à CONTRATADA o não recebimento do objeto, apontando as razões de sua não adequação aos termos contratuais.</w:t>
      </w:r>
    </w:p>
    <w:p w14:paraId="0D868F62">
      <w:pPr>
        <w:pStyle w:val="31"/>
        <w:numPr>
          <w:ilvl w:val="0"/>
          <w:numId w:val="0"/>
        </w:numPr>
        <w:spacing w:before="0" w:after="0" w:line="240" w:lineRule="auto"/>
        <w:rPr>
          <w:rFonts w:ascii="Times New Roman" w:hAnsi="Times New Roman" w:cs="Times New Roman"/>
          <w:i w:val="0"/>
          <w:iCs w:val="0"/>
          <w:color w:val="auto"/>
          <w:sz w:val="22"/>
          <w:szCs w:val="22"/>
        </w:rPr>
      </w:pPr>
      <w:r>
        <w:rPr>
          <w:rFonts w:ascii="Times New Roman" w:hAnsi="Times New Roman" w:cs="Times New Roman"/>
          <w:i w:val="0"/>
          <w:iCs w:val="0"/>
          <w:color w:val="auto"/>
          <w:sz w:val="22"/>
          <w:szCs w:val="22"/>
        </w:rPr>
        <w:t>À Secretaria de Obras, Saneamento</w:t>
      </w:r>
      <w:r>
        <w:rPr>
          <w:rFonts w:hint="default" w:ascii="Times New Roman" w:hAnsi="Times New Roman" w:cs="Times New Roman"/>
          <w:i w:val="0"/>
          <w:iCs w:val="0"/>
          <w:color w:val="auto"/>
          <w:sz w:val="22"/>
          <w:szCs w:val="22"/>
          <w:lang w:val="pt-BR"/>
        </w:rPr>
        <w:t xml:space="preserve">, </w:t>
      </w:r>
      <w:r>
        <w:rPr>
          <w:rFonts w:ascii="Times New Roman" w:hAnsi="Times New Roman" w:cs="Times New Roman"/>
          <w:i w:val="0"/>
          <w:iCs w:val="0"/>
          <w:color w:val="auto"/>
          <w:sz w:val="22"/>
          <w:szCs w:val="22"/>
        </w:rPr>
        <w:t xml:space="preserve">Urbanismo </w:t>
      </w:r>
      <w:r>
        <w:rPr>
          <w:rFonts w:hint="default" w:ascii="Times New Roman" w:hAnsi="Times New Roman" w:cs="Times New Roman"/>
          <w:i w:val="0"/>
          <w:iCs w:val="0"/>
          <w:color w:val="auto"/>
          <w:sz w:val="22"/>
          <w:szCs w:val="22"/>
          <w:lang w:val="pt-BR"/>
        </w:rPr>
        <w:t xml:space="preserve">e Conservação </w:t>
      </w:r>
      <w:r>
        <w:rPr>
          <w:rFonts w:ascii="Times New Roman" w:hAnsi="Times New Roman" w:cs="Times New Roman"/>
          <w:i w:val="0"/>
          <w:iCs w:val="0"/>
          <w:color w:val="auto"/>
          <w:sz w:val="22"/>
          <w:szCs w:val="22"/>
        </w:rPr>
        <w:t>é reservado o direito de, sem que de qualquer forma restrinja a plenitude dessa responsabilidade, exercer a mais ampla e completa fiscalização sobre o cumprimento das especificações e condições deste objeto.</w:t>
      </w:r>
    </w:p>
    <w:p w14:paraId="30D2BD75">
      <w:pPr>
        <w:pStyle w:val="31"/>
        <w:numPr>
          <w:ilvl w:val="0"/>
          <w:numId w:val="0"/>
        </w:numPr>
        <w:spacing w:before="0" w:after="0" w:line="240" w:lineRule="auto"/>
        <w:rPr>
          <w:rFonts w:ascii="Times New Roman" w:hAnsi="Times New Roman" w:cs="Times New Roman"/>
          <w:i w:val="0"/>
          <w:iCs w:val="0"/>
          <w:color w:val="auto"/>
          <w:sz w:val="22"/>
          <w:szCs w:val="22"/>
        </w:rPr>
      </w:pPr>
    </w:p>
    <w:p w14:paraId="53C1812F">
      <w:pPr>
        <w:pStyle w:val="31"/>
        <w:numPr>
          <w:ilvl w:val="0"/>
          <w:numId w:val="0"/>
        </w:numPr>
        <w:spacing w:before="0" w:after="0" w:line="240" w:lineRule="auto"/>
        <w:rPr>
          <w:rFonts w:ascii="Times New Roman" w:hAnsi="Times New Roman" w:cs="Times New Roman"/>
          <w:i w:val="0"/>
          <w:iCs w:val="0"/>
          <w:color w:val="auto"/>
          <w:sz w:val="22"/>
          <w:szCs w:val="22"/>
        </w:rPr>
      </w:pPr>
    </w:p>
    <w:p w14:paraId="4185BE18">
      <w:pPr>
        <w:pStyle w:val="31"/>
        <w:numPr>
          <w:ilvl w:val="0"/>
          <w:numId w:val="0"/>
        </w:numPr>
        <w:spacing w:before="0" w:after="0" w:line="240" w:lineRule="auto"/>
        <w:rPr>
          <w:rFonts w:ascii="Times New Roman" w:hAnsi="Times New Roman" w:cs="Times New Roman"/>
          <w:b/>
          <w:bCs/>
          <w:i w:val="0"/>
          <w:iCs w:val="0"/>
          <w:color w:val="auto"/>
          <w:sz w:val="22"/>
          <w:szCs w:val="22"/>
        </w:rPr>
      </w:pPr>
      <w:r>
        <w:rPr>
          <w:rFonts w:ascii="Times New Roman" w:hAnsi="Times New Roman" w:cs="Times New Roman"/>
          <w:b/>
          <w:bCs/>
          <w:i w:val="0"/>
          <w:iCs w:val="0"/>
          <w:color w:val="auto"/>
          <w:sz w:val="22"/>
          <w:szCs w:val="22"/>
        </w:rPr>
        <w:t>18 – OBRIGAÇÕES GERAIS DO CONTRATADO:</w:t>
      </w:r>
    </w:p>
    <w:p w14:paraId="42DA6647">
      <w:pPr>
        <w:pStyle w:val="31"/>
        <w:numPr>
          <w:ilvl w:val="0"/>
          <w:numId w:val="0"/>
        </w:numPr>
        <w:spacing w:before="0" w:after="0" w:line="240" w:lineRule="auto"/>
        <w:rPr>
          <w:rFonts w:ascii="Times New Roman" w:hAnsi="Times New Roman" w:cs="Times New Roman"/>
          <w:i w:val="0"/>
          <w:iCs w:val="0"/>
          <w:color w:val="auto"/>
          <w:sz w:val="22"/>
          <w:szCs w:val="22"/>
        </w:rPr>
      </w:pPr>
    </w:p>
    <w:p w14:paraId="6B6009FD">
      <w:pPr>
        <w:pStyle w:val="9"/>
        <w:numPr>
          <w:ilvl w:val="0"/>
          <w:numId w:val="0"/>
        </w:numPr>
        <w:rPr>
          <w:rFonts w:eastAsiaTheme="minorEastAsia"/>
          <w:sz w:val="22"/>
          <w:szCs w:val="22"/>
        </w:rPr>
      </w:pPr>
      <w:r>
        <w:rPr>
          <w:rFonts w:eastAsiaTheme="minorEastAsia"/>
          <w:sz w:val="22"/>
          <w:szCs w:val="22"/>
        </w:rPr>
        <w:t>Constituem obrigações da contratada, além das constantes previstas na Lei nº 8.666/93, as seguintes:</w:t>
      </w:r>
    </w:p>
    <w:p w14:paraId="5E6C126A">
      <w:pPr>
        <w:pStyle w:val="9"/>
        <w:numPr>
          <w:ilvl w:val="0"/>
          <w:numId w:val="0"/>
        </w:numPr>
        <w:rPr>
          <w:rFonts w:eastAsiaTheme="minorEastAsia"/>
          <w:sz w:val="22"/>
          <w:szCs w:val="22"/>
        </w:rPr>
      </w:pPr>
    </w:p>
    <w:p w14:paraId="1A25B9E2">
      <w:pPr>
        <w:jc w:val="both"/>
        <w:rPr>
          <w:rFonts w:eastAsiaTheme="minorEastAsia"/>
          <w:sz w:val="22"/>
          <w:szCs w:val="22"/>
        </w:rPr>
      </w:pPr>
      <w:r>
        <w:rPr>
          <w:rFonts w:eastAsiaTheme="minorEastAsia"/>
          <w:b/>
          <w:bCs/>
          <w:sz w:val="22"/>
          <w:szCs w:val="22"/>
        </w:rPr>
        <w:t>18.1.</w:t>
      </w:r>
      <w:r>
        <w:rPr>
          <w:rFonts w:eastAsiaTheme="minorEastAsia"/>
          <w:sz w:val="22"/>
          <w:szCs w:val="22"/>
        </w:rPr>
        <w:t xml:space="preserve"> Obedecer às especificações técnica exigidas;</w:t>
      </w:r>
    </w:p>
    <w:p w14:paraId="44272EED">
      <w:pPr>
        <w:jc w:val="both"/>
        <w:rPr>
          <w:rFonts w:eastAsiaTheme="minorEastAsia"/>
          <w:sz w:val="22"/>
          <w:szCs w:val="22"/>
        </w:rPr>
      </w:pPr>
    </w:p>
    <w:p w14:paraId="3458CAD9">
      <w:pPr>
        <w:jc w:val="both"/>
        <w:rPr>
          <w:rFonts w:eastAsiaTheme="minorEastAsia"/>
          <w:sz w:val="22"/>
          <w:szCs w:val="22"/>
        </w:rPr>
      </w:pPr>
      <w:r>
        <w:rPr>
          <w:rFonts w:eastAsiaTheme="minorEastAsia"/>
          <w:b/>
          <w:bCs/>
          <w:sz w:val="22"/>
          <w:szCs w:val="22"/>
        </w:rPr>
        <w:t>18.2.</w:t>
      </w:r>
      <w:r>
        <w:rPr>
          <w:rFonts w:eastAsiaTheme="minorEastAsia"/>
          <w:sz w:val="22"/>
          <w:szCs w:val="22"/>
        </w:rPr>
        <w:t xml:space="preserve"> Responsabilizar-se pelo serviço, ressaltando que todas as despesas de transporte e outras necessárias ao cumprimento de suas obrigações serão de responsabilidade da contratada, inclusive despesas de manutenção, combustível e operação;</w:t>
      </w:r>
    </w:p>
    <w:p w14:paraId="6D3DD95B">
      <w:pPr>
        <w:jc w:val="both"/>
        <w:rPr>
          <w:rFonts w:eastAsiaTheme="minorEastAsia"/>
          <w:sz w:val="22"/>
          <w:szCs w:val="22"/>
        </w:rPr>
      </w:pPr>
    </w:p>
    <w:p w14:paraId="4D6AC611">
      <w:pPr>
        <w:jc w:val="both"/>
        <w:rPr>
          <w:rFonts w:eastAsiaTheme="minorEastAsia"/>
          <w:sz w:val="22"/>
          <w:szCs w:val="22"/>
        </w:rPr>
      </w:pPr>
      <w:r>
        <w:rPr>
          <w:rFonts w:eastAsiaTheme="minorEastAsia"/>
          <w:b/>
          <w:bCs/>
          <w:sz w:val="22"/>
          <w:szCs w:val="22"/>
        </w:rPr>
        <w:t>18.3.</w:t>
      </w:r>
      <w:r>
        <w:rPr>
          <w:rFonts w:eastAsiaTheme="minorEastAsia"/>
          <w:sz w:val="22"/>
          <w:szCs w:val="22"/>
        </w:rPr>
        <w:t xml:space="preserve"> Prestar o serviço na forma ajustada;</w:t>
      </w:r>
    </w:p>
    <w:p w14:paraId="39AFA2A5">
      <w:pPr>
        <w:jc w:val="both"/>
        <w:rPr>
          <w:rFonts w:eastAsiaTheme="minorEastAsia"/>
          <w:sz w:val="22"/>
          <w:szCs w:val="22"/>
        </w:rPr>
      </w:pPr>
    </w:p>
    <w:p w14:paraId="143D4ED9">
      <w:pPr>
        <w:jc w:val="both"/>
        <w:rPr>
          <w:rFonts w:eastAsiaTheme="minorEastAsia"/>
          <w:sz w:val="22"/>
          <w:szCs w:val="22"/>
        </w:rPr>
      </w:pPr>
      <w:r>
        <w:rPr>
          <w:rFonts w:eastAsiaTheme="minorEastAsia"/>
          <w:b/>
          <w:bCs/>
          <w:sz w:val="22"/>
          <w:szCs w:val="22"/>
        </w:rPr>
        <w:t>18.4.</w:t>
      </w:r>
      <w:r>
        <w:rPr>
          <w:rFonts w:eastAsiaTheme="minorEastAsia"/>
          <w:sz w:val="22"/>
          <w:szCs w:val="22"/>
        </w:rPr>
        <w:t xml:space="preserve"> Indicar e manter, durante o cumprimento do contrato, funcionário da empresa com poderes para resolver quaisquer adversidades referentes a obrigações contratuais para atuar como preposto, mantendo atualizado o seu telefone de contato;</w:t>
      </w:r>
    </w:p>
    <w:p w14:paraId="5E3D6DAC">
      <w:pPr>
        <w:jc w:val="both"/>
        <w:rPr>
          <w:rFonts w:eastAsiaTheme="minorEastAsia"/>
          <w:sz w:val="22"/>
          <w:szCs w:val="22"/>
        </w:rPr>
      </w:pPr>
    </w:p>
    <w:p w14:paraId="0F06980D">
      <w:pPr>
        <w:jc w:val="both"/>
        <w:rPr>
          <w:rFonts w:eastAsiaTheme="minorEastAsia"/>
          <w:sz w:val="22"/>
          <w:szCs w:val="22"/>
        </w:rPr>
      </w:pPr>
      <w:r>
        <w:rPr>
          <w:rFonts w:eastAsiaTheme="minorEastAsia"/>
          <w:b/>
          <w:bCs/>
          <w:sz w:val="22"/>
          <w:szCs w:val="22"/>
        </w:rPr>
        <w:t>18.5.</w:t>
      </w:r>
      <w:r>
        <w:rPr>
          <w:rFonts w:eastAsiaTheme="minorEastAsia"/>
          <w:sz w:val="22"/>
          <w:szCs w:val="22"/>
        </w:rPr>
        <w:t xml:space="preserve"> Apresentar responsável técnico e Anotação de Responsabilidade Técnica sobre o serviço objeto desta contratação;</w:t>
      </w:r>
    </w:p>
    <w:p w14:paraId="68BB6D8A">
      <w:pPr>
        <w:jc w:val="both"/>
        <w:rPr>
          <w:rFonts w:eastAsiaTheme="minorEastAsia"/>
          <w:sz w:val="22"/>
          <w:szCs w:val="22"/>
        </w:rPr>
      </w:pPr>
    </w:p>
    <w:p w14:paraId="0B03ED90">
      <w:pPr>
        <w:jc w:val="both"/>
        <w:rPr>
          <w:rFonts w:eastAsiaTheme="minorEastAsia"/>
          <w:sz w:val="22"/>
          <w:szCs w:val="22"/>
        </w:rPr>
      </w:pPr>
      <w:r>
        <w:rPr>
          <w:rFonts w:eastAsiaTheme="minorEastAsia"/>
          <w:b/>
          <w:bCs/>
          <w:sz w:val="22"/>
          <w:szCs w:val="22"/>
        </w:rPr>
        <w:t>18.6.</w:t>
      </w:r>
      <w:r>
        <w:rPr>
          <w:rFonts w:eastAsiaTheme="minorEastAsia"/>
          <w:sz w:val="22"/>
          <w:szCs w:val="22"/>
        </w:rPr>
        <w:t xml:space="preserve"> Fornecer e exigir o uso de uniformes e Equipamentos de Proteção Individual (EPI’s) para os seus funcionários, conforme legislação pertinente;</w:t>
      </w:r>
    </w:p>
    <w:p w14:paraId="61ED9049">
      <w:pPr>
        <w:jc w:val="both"/>
        <w:rPr>
          <w:rFonts w:eastAsiaTheme="minorEastAsia"/>
          <w:sz w:val="22"/>
          <w:szCs w:val="22"/>
        </w:rPr>
      </w:pPr>
    </w:p>
    <w:p w14:paraId="30BD61B0">
      <w:pPr>
        <w:jc w:val="both"/>
        <w:rPr>
          <w:rFonts w:eastAsiaTheme="minorEastAsia"/>
          <w:sz w:val="22"/>
          <w:szCs w:val="22"/>
        </w:rPr>
      </w:pPr>
      <w:r>
        <w:rPr>
          <w:rFonts w:eastAsiaTheme="minorEastAsia"/>
          <w:b/>
          <w:bCs/>
          <w:sz w:val="22"/>
          <w:szCs w:val="22"/>
        </w:rPr>
        <w:t>18.7.</w:t>
      </w:r>
      <w:r>
        <w:rPr>
          <w:rFonts w:eastAsiaTheme="minorEastAsia"/>
          <w:sz w:val="22"/>
          <w:szCs w:val="22"/>
        </w:rPr>
        <w:t xml:space="preserve"> Apresentar o(s) equipamento(s) em conformidade nos locais de serviço determinados pela fiscalização da Secretaria de Obras, Saneamento</w:t>
      </w:r>
      <w:r>
        <w:rPr>
          <w:rFonts w:hint="default" w:eastAsiaTheme="minorEastAsia"/>
          <w:sz w:val="22"/>
          <w:szCs w:val="22"/>
          <w:lang w:val="pt-BR"/>
        </w:rPr>
        <w:t xml:space="preserve">, </w:t>
      </w:r>
      <w:r>
        <w:rPr>
          <w:rFonts w:eastAsiaTheme="minorEastAsia"/>
          <w:sz w:val="22"/>
          <w:szCs w:val="22"/>
        </w:rPr>
        <w:t>Urbanismo</w:t>
      </w:r>
      <w:r>
        <w:rPr>
          <w:rFonts w:hint="default" w:eastAsiaTheme="minorEastAsia"/>
          <w:sz w:val="22"/>
          <w:szCs w:val="22"/>
          <w:lang w:val="pt-BR"/>
        </w:rPr>
        <w:t xml:space="preserve"> e Conservação</w:t>
      </w:r>
      <w:r>
        <w:rPr>
          <w:rFonts w:eastAsiaTheme="minorEastAsia"/>
          <w:sz w:val="22"/>
          <w:szCs w:val="22"/>
        </w:rPr>
        <w:t>, em condições de iniciar a execução dos serviços. Para isto, todos os procedimentos relativos à manutenção preventiva, abastecimento, limpeza e outras verificações do(s) equipamento(s) deverão ser previamente realizados;</w:t>
      </w:r>
    </w:p>
    <w:p w14:paraId="316E8EA6">
      <w:pPr>
        <w:jc w:val="both"/>
        <w:rPr>
          <w:rFonts w:eastAsiaTheme="minorEastAsia"/>
          <w:sz w:val="22"/>
          <w:szCs w:val="22"/>
        </w:rPr>
      </w:pPr>
    </w:p>
    <w:p w14:paraId="6C597580">
      <w:pPr>
        <w:jc w:val="both"/>
        <w:rPr>
          <w:rFonts w:eastAsiaTheme="minorEastAsia"/>
          <w:sz w:val="22"/>
          <w:szCs w:val="22"/>
        </w:rPr>
      </w:pPr>
      <w:r>
        <w:rPr>
          <w:rFonts w:eastAsiaTheme="minorEastAsia"/>
          <w:b/>
          <w:bCs/>
          <w:sz w:val="22"/>
          <w:szCs w:val="22"/>
        </w:rPr>
        <w:t>18.8.</w:t>
      </w:r>
      <w:r>
        <w:rPr>
          <w:rFonts w:eastAsiaTheme="minorEastAsia"/>
          <w:sz w:val="22"/>
          <w:szCs w:val="22"/>
        </w:rPr>
        <w:t xml:space="preserve"> Informar imediatamente à Secretaria de Obras, Saneamento</w:t>
      </w:r>
      <w:r>
        <w:rPr>
          <w:rFonts w:hint="default" w:eastAsiaTheme="minorEastAsia"/>
          <w:sz w:val="22"/>
          <w:szCs w:val="22"/>
          <w:lang w:val="pt-BR"/>
        </w:rPr>
        <w:t xml:space="preserve">, </w:t>
      </w:r>
      <w:r>
        <w:rPr>
          <w:rFonts w:eastAsiaTheme="minorEastAsia"/>
          <w:sz w:val="22"/>
          <w:szCs w:val="22"/>
        </w:rPr>
        <w:t>Urbanismo</w:t>
      </w:r>
      <w:r>
        <w:rPr>
          <w:rFonts w:hint="default" w:eastAsiaTheme="minorEastAsia"/>
          <w:sz w:val="22"/>
          <w:szCs w:val="22"/>
          <w:lang w:val="pt-BR"/>
        </w:rPr>
        <w:t xml:space="preserve"> e Conservação</w:t>
      </w:r>
      <w:r>
        <w:rPr>
          <w:rFonts w:eastAsiaTheme="minorEastAsia"/>
          <w:sz w:val="22"/>
          <w:szCs w:val="22"/>
        </w:rPr>
        <w:t>, verbalmente e por escrito, quaisquer problemas ocorridos durante a execução dos serviços;</w:t>
      </w:r>
    </w:p>
    <w:p w14:paraId="5FC3F622">
      <w:pPr>
        <w:jc w:val="both"/>
        <w:rPr>
          <w:rFonts w:eastAsiaTheme="minorEastAsia"/>
          <w:sz w:val="22"/>
          <w:szCs w:val="22"/>
        </w:rPr>
      </w:pPr>
    </w:p>
    <w:p w14:paraId="3EFDA42A">
      <w:pPr>
        <w:jc w:val="both"/>
        <w:rPr>
          <w:rFonts w:eastAsiaTheme="minorEastAsia"/>
          <w:sz w:val="22"/>
          <w:szCs w:val="22"/>
        </w:rPr>
      </w:pPr>
      <w:r>
        <w:rPr>
          <w:rFonts w:eastAsiaTheme="minorEastAsia"/>
          <w:b/>
          <w:bCs/>
          <w:sz w:val="22"/>
          <w:szCs w:val="22"/>
        </w:rPr>
        <w:t>18.9.</w:t>
      </w:r>
      <w:r>
        <w:rPr>
          <w:rFonts w:eastAsiaTheme="minorEastAsia"/>
          <w:sz w:val="22"/>
          <w:szCs w:val="22"/>
        </w:rPr>
        <w:t xml:space="preserve"> Manter-se, durante toda a execução do contrato, em compatibilidade com as obrigações assumidas, as condições de habilitação e qualificação exigidas neste projeto;</w:t>
      </w:r>
    </w:p>
    <w:p w14:paraId="0401C254">
      <w:pPr>
        <w:jc w:val="both"/>
        <w:rPr>
          <w:rFonts w:eastAsiaTheme="minorEastAsia"/>
          <w:sz w:val="22"/>
          <w:szCs w:val="22"/>
        </w:rPr>
      </w:pPr>
    </w:p>
    <w:p w14:paraId="238FB20E">
      <w:pPr>
        <w:jc w:val="both"/>
        <w:rPr>
          <w:rFonts w:eastAsiaTheme="minorEastAsia"/>
          <w:sz w:val="22"/>
          <w:szCs w:val="22"/>
        </w:rPr>
      </w:pPr>
      <w:r>
        <w:rPr>
          <w:rFonts w:eastAsiaTheme="minorEastAsia"/>
          <w:b/>
          <w:bCs/>
          <w:sz w:val="22"/>
          <w:szCs w:val="22"/>
        </w:rPr>
        <w:t>18.10.</w:t>
      </w:r>
      <w:r>
        <w:rPr>
          <w:rFonts w:eastAsiaTheme="minorEastAsia"/>
          <w:sz w:val="22"/>
          <w:szCs w:val="22"/>
        </w:rPr>
        <w:t xml:space="preserve"> Manter em dia todas as suas obrigações com terceiros, em especial as sociais, trabalhistas, previdenciárias, tributárias e comerciais, bem como assumir inteira responsabilidade pelo cumprimento destas obrigações;</w:t>
      </w:r>
    </w:p>
    <w:p w14:paraId="627508B9">
      <w:pPr>
        <w:jc w:val="both"/>
        <w:rPr>
          <w:rFonts w:eastAsiaTheme="minorEastAsia"/>
          <w:sz w:val="22"/>
          <w:szCs w:val="22"/>
        </w:rPr>
      </w:pPr>
    </w:p>
    <w:p w14:paraId="5AAE91E9">
      <w:pPr>
        <w:jc w:val="both"/>
        <w:rPr>
          <w:rFonts w:eastAsiaTheme="minorEastAsia"/>
          <w:sz w:val="22"/>
          <w:szCs w:val="22"/>
        </w:rPr>
      </w:pPr>
      <w:r>
        <w:rPr>
          <w:rFonts w:eastAsiaTheme="minorEastAsia"/>
          <w:b/>
          <w:bCs/>
          <w:sz w:val="22"/>
          <w:szCs w:val="22"/>
        </w:rPr>
        <w:t>18.11.</w:t>
      </w:r>
      <w:r>
        <w:rPr>
          <w:rFonts w:eastAsiaTheme="minorEastAsia"/>
          <w:sz w:val="22"/>
          <w:szCs w:val="22"/>
        </w:rPr>
        <w:t xml:space="preserve"> Apresentar, durante a execução do contrato, quando solicitado, os documentos que comprovem estar cumprindo a legislação em vigor quanto às obrigações assumidas na licitação, em especial quanto aos encargos sociais, trabalhistas, previdenciários, tributários e comerciais;</w:t>
      </w:r>
    </w:p>
    <w:p w14:paraId="2BF346D3">
      <w:pPr>
        <w:jc w:val="both"/>
        <w:rPr>
          <w:rFonts w:eastAsiaTheme="minorEastAsia"/>
          <w:sz w:val="22"/>
          <w:szCs w:val="22"/>
        </w:rPr>
      </w:pPr>
    </w:p>
    <w:p w14:paraId="762074C7">
      <w:pPr>
        <w:jc w:val="both"/>
        <w:rPr>
          <w:rFonts w:eastAsiaTheme="minorEastAsia"/>
          <w:sz w:val="22"/>
          <w:szCs w:val="22"/>
        </w:rPr>
      </w:pPr>
      <w:r>
        <w:rPr>
          <w:rFonts w:eastAsiaTheme="minorEastAsia"/>
          <w:b/>
          <w:bCs/>
          <w:sz w:val="22"/>
          <w:szCs w:val="22"/>
        </w:rPr>
        <w:t>18.12.</w:t>
      </w:r>
      <w:r>
        <w:rPr>
          <w:rFonts w:eastAsiaTheme="minorEastAsia"/>
          <w:sz w:val="22"/>
          <w:szCs w:val="22"/>
        </w:rPr>
        <w:t xml:space="preserve"> Cumprir com o disposto no inciso XXXIII do art. 7º da Constituição Federal (proibição de trabalho noturno, perigoso ou insalubre aos menores de dezoito e de qualquer trabalho a menores de dezesseis anos, salvo na condição de aprendiz a partir de quatorze anos);</w:t>
      </w:r>
    </w:p>
    <w:p w14:paraId="69D00C91">
      <w:pPr>
        <w:jc w:val="both"/>
        <w:rPr>
          <w:rFonts w:eastAsiaTheme="minorEastAsia"/>
          <w:sz w:val="22"/>
          <w:szCs w:val="22"/>
        </w:rPr>
      </w:pPr>
    </w:p>
    <w:p w14:paraId="562CEE07">
      <w:pPr>
        <w:jc w:val="both"/>
        <w:rPr>
          <w:rFonts w:eastAsiaTheme="minorEastAsia"/>
          <w:sz w:val="22"/>
          <w:szCs w:val="22"/>
        </w:rPr>
      </w:pPr>
      <w:r>
        <w:rPr>
          <w:rFonts w:eastAsiaTheme="minorEastAsia"/>
          <w:b/>
          <w:bCs/>
          <w:sz w:val="22"/>
          <w:szCs w:val="22"/>
        </w:rPr>
        <w:t>18.13.</w:t>
      </w:r>
      <w:r>
        <w:rPr>
          <w:rFonts w:eastAsiaTheme="minorEastAsia"/>
          <w:sz w:val="22"/>
          <w:szCs w:val="22"/>
        </w:rPr>
        <w:t xml:space="preserve"> Atender as solicitações da Secretaria de Obras, Saneamento</w:t>
      </w:r>
      <w:r>
        <w:rPr>
          <w:rFonts w:hint="default" w:eastAsiaTheme="minorEastAsia"/>
          <w:sz w:val="22"/>
          <w:szCs w:val="22"/>
          <w:lang w:val="pt-BR"/>
        </w:rPr>
        <w:t xml:space="preserve">, </w:t>
      </w:r>
      <w:r>
        <w:rPr>
          <w:rFonts w:eastAsiaTheme="minorEastAsia"/>
          <w:sz w:val="22"/>
          <w:szCs w:val="22"/>
        </w:rPr>
        <w:t>Urbanismo</w:t>
      </w:r>
      <w:r>
        <w:rPr>
          <w:rFonts w:hint="default" w:eastAsiaTheme="minorEastAsia"/>
          <w:sz w:val="22"/>
          <w:szCs w:val="22"/>
          <w:lang w:val="pt-BR"/>
        </w:rPr>
        <w:t xml:space="preserve"> e Conservação</w:t>
      </w:r>
      <w:r>
        <w:rPr>
          <w:rFonts w:eastAsiaTheme="minorEastAsia"/>
          <w:sz w:val="22"/>
          <w:szCs w:val="22"/>
        </w:rPr>
        <w:t xml:space="preserve"> de fornecimento de informações de dados sobre os serviços, dentro dos prazos estipulados;</w:t>
      </w:r>
    </w:p>
    <w:p w14:paraId="3B2B3AA0">
      <w:pPr>
        <w:jc w:val="both"/>
        <w:rPr>
          <w:rFonts w:eastAsiaTheme="minorEastAsia"/>
          <w:sz w:val="22"/>
          <w:szCs w:val="22"/>
        </w:rPr>
      </w:pPr>
    </w:p>
    <w:p w14:paraId="14B46693">
      <w:pPr>
        <w:jc w:val="both"/>
        <w:rPr>
          <w:rFonts w:eastAsiaTheme="minorEastAsia"/>
          <w:sz w:val="22"/>
          <w:szCs w:val="22"/>
        </w:rPr>
      </w:pPr>
      <w:r>
        <w:rPr>
          <w:rFonts w:eastAsiaTheme="minorEastAsia"/>
          <w:b/>
          <w:bCs/>
          <w:sz w:val="22"/>
          <w:szCs w:val="22"/>
        </w:rPr>
        <w:t>18.14.</w:t>
      </w:r>
      <w:r>
        <w:rPr>
          <w:rFonts w:eastAsiaTheme="minorEastAsia"/>
          <w:sz w:val="22"/>
          <w:szCs w:val="22"/>
        </w:rPr>
        <w:t xml:space="preserve"> Sanar imediatamente quaisquer irregularidades ou defeitos verificados pela fiscalização durante a execução dos serviços;</w:t>
      </w:r>
    </w:p>
    <w:p w14:paraId="10F52572">
      <w:pPr>
        <w:jc w:val="both"/>
        <w:rPr>
          <w:rFonts w:eastAsiaTheme="minorEastAsia"/>
          <w:sz w:val="22"/>
          <w:szCs w:val="22"/>
        </w:rPr>
      </w:pPr>
    </w:p>
    <w:p w14:paraId="67CFDBAF">
      <w:pPr>
        <w:jc w:val="both"/>
        <w:rPr>
          <w:rFonts w:eastAsiaTheme="minorEastAsia"/>
          <w:sz w:val="22"/>
          <w:szCs w:val="22"/>
        </w:rPr>
      </w:pPr>
      <w:r>
        <w:rPr>
          <w:rFonts w:eastAsiaTheme="minorEastAsia"/>
          <w:b/>
          <w:bCs/>
          <w:sz w:val="22"/>
          <w:szCs w:val="22"/>
        </w:rPr>
        <w:t>18.15.</w:t>
      </w:r>
      <w:r>
        <w:rPr>
          <w:rFonts w:eastAsiaTheme="minorEastAsia"/>
          <w:sz w:val="22"/>
          <w:szCs w:val="22"/>
        </w:rPr>
        <w:t xml:space="preserve"> Responder por quaisquer danos pessoais ou materiais ao patrimônio público ou privado, bem como danos ambientais ocasionados por seus funcionários ou equipamentos durante a execução dos serviços;</w:t>
      </w:r>
    </w:p>
    <w:p w14:paraId="472880C3">
      <w:pPr>
        <w:jc w:val="both"/>
        <w:rPr>
          <w:rFonts w:eastAsiaTheme="minorEastAsia"/>
          <w:sz w:val="22"/>
          <w:szCs w:val="22"/>
        </w:rPr>
      </w:pPr>
    </w:p>
    <w:p w14:paraId="2C2BB0F3">
      <w:pPr>
        <w:jc w:val="both"/>
        <w:rPr>
          <w:rFonts w:eastAsiaTheme="minorEastAsia"/>
          <w:sz w:val="22"/>
          <w:szCs w:val="22"/>
        </w:rPr>
      </w:pPr>
      <w:r>
        <w:rPr>
          <w:rFonts w:eastAsiaTheme="minorEastAsia"/>
          <w:b/>
          <w:bCs/>
          <w:sz w:val="22"/>
          <w:szCs w:val="22"/>
        </w:rPr>
        <w:t>18.16.</w:t>
      </w:r>
      <w:r>
        <w:rPr>
          <w:rFonts w:eastAsiaTheme="minorEastAsia"/>
          <w:sz w:val="22"/>
          <w:szCs w:val="22"/>
        </w:rPr>
        <w:t xml:space="preserve"> Substituir qualquer componente da equipe que, a critério da Secretaria de Obras, Saneamento</w:t>
      </w:r>
      <w:r>
        <w:rPr>
          <w:rFonts w:hint="default" w:eastAsiaTheme="minorEastAsia"/>
          <w:sz w:val="22"/>
          <w:szCs w:val="22"/>
          <w:lang w:val="pt-BR"/>
        </w:rPr>
        <w:t xml:space="preserve">, </w:t>
      </w:r>
      <w:r>
        <w:rPr>
          <w:rFonts w:eastAsiaTheme="minorEastAsia"/>
          <w:sz w:val="22"/>
          <w:szCs w:val="22"/>
        </w:rPr>
        <w:t>Urbanismo</w:t>
      </w:r>
      <w:r>
        <w:rPr>
          <w:rFonts w:hint="default" w:eastAsiaTheme="minorEastAsia"/>
          <w:sz w:val="22"/>
          <w:szCs w:val="22"/>
          <w:lang w:val="pt-BR"/>
        </w:rPr>
        <w:t xml:space="preserve"> e Conservação</w:t>
      </w:r>
      <w:r>
        <w:rPr>
          <w:rFonts w:eastAsiaTheme="minorEastAsia"/>
          <w:sz w:val="22"/>
          <w:szCs w:val="22"/>
        </w:rPr>
        <w:t>, apresente comportamento inadequado ao trabalho, ainda que não possa ser demitido;</w:t>
      </w:r>
    </w:p>
    <w:p w14:paraId="7B798520">
      <w:pPr>
        <w:jc w:val="both"/>
        <w:rPr>
          <w:rFonts w:eastAsiaTheme="minorEastAsia"/>
          <w:sz w:val="22"/>
          <w:szCs w:val="22"/>
        </w:rPr>
      </w:pPr>
    </w:p>
    <w:p w14:paraId="23303518">
      <w:pPr>
        <w:jc w:val="both"/>
        <w:rPr>
          <w:rFonts w:eastAsiaTheme="minorEastAsia"/>
          <w:sz w:val="22"/>
          <w:szCs w:val="22"/>
        </w:rPr>
      </w:pPr>
      <w:r>
        <w:rPr>
          <w:rFonts w:eastAsiaTheme="minorEastAsia"/>
          <w:b/>
          <w:bCs/>
          <w:sz w:val="22"/>
          <w:szCs w:val="22"/>
        </w:rPr>
        <w:t>18.17.</w:t>
      </w:r>
      <w:r>
        <w:rPr>
          <w:rFonts w:eastAsiaTheme="minorEastAsia"/>
          <w:sz w:val="22"/>
          <w:szCs w:val="22"/>
        </w:rPr>
        <w:t xml:space="preserve"> Atender a todas as solicitações feitas pela Secretaria de Obras, Saneamento</w:t>
      </w:r>
      <w:r>
        <w:rPr>
          <w:rFonts w:hint="default" w:eastAsiaTheme="minorEastAsia"/>
          <w:sz w:val="22"/>
          <w:szCs w:val="22"/>
          <w:lang w:val="pt-BR"/>
        </w:rPr>
        <w:t xml:space="preserve">, </w:t>
      </w:r>
      <w:r>
        <w:rPr>
          <w:rFonts w:eastAsiaTheme="minorEastAsia"/>
          <w:sz w:val="22"/>
          <w:szCs w:val="22"/>
        </w:rPr>
        <w:t>Urbanismo</w:t>
      </w:r>
      <w:r>
        <w:rPr>
          <w:rFonts w:hint="default" w:eastAsiaTheme="minorEastAsia"/>
          <w:sz w:val="22"/>
          <w:szCs w:val="22"/>
          <w:lang w:val="pt-BR"/>
        </w:rPr>
        <w:t xml:space="preserve"> e Conservação</w:t>
      </w:r>
      <w:r>
        <w:rPr>
          <w:rFonts w:eastAsiaTheme="minorEastAsia"/>
          <w:sz w:val="22"/>
          <w:szCs w:val="22"/>
        </w:rPr>
        <w:t xml:space="preserve"> para o fornecimento de informações e dados sobre os serviços, indicadores de acidentes de trabalho ou outros referentes à gestão de medicina e segurança do trabalho, dentro dos prazos estipulados;</w:t>
      </w:r>
    </w:p>
    <w:p w14:paraId="7651E5F0">
      <w:pPr>
        <w:jc w:val="both"/>
        <w:rPr>
          <w:rFonts w:eastAsiaTheme="minorEastAsia"/>
          <w:sz w:val="22"/>
          <w:szCs w:val="22"/>
        </w:rPr>
      </w:pPr>
    </w:p>
    <w:p w14:paraId="0B7192E4">
      <w:pPr>
        <w:jc w:val="both"/>
        <w:rPr>
          <w:rFonts w:eastAsiaTheme="minorEastAsia"/>
          <w:sz w:val="22"/>
          <w:szCs w:val="22"/>
        </w:rPr>
      </w:pPr>
      <w:r>
        <w:rPr>
          <w:rFonts w:eastAsiaTheme="minorEastAsia"/>
          <w:b/>
          <w:bCs/>
          <w:sz w:val="22"/>
          <w:szCs w:val="22"/>
        </w:rPr>
        <w:t>18.18</w:t>
      </w:r>
      <w:r>
        <w:rPr>
          <w:rFonts w:eastAsiaTheme="minorEastAsia"/>
          <w:sz w:val="22"/>
          <w:szCs w:val="22"/>
        </w:rPr>
        <w:t xml:space="preserve"> O retardamento na entrega do objeto não justificado considerar-se-á como infração contratual;</w:t>
      </w:r>
    </w:p>
    <w:p w14:paraId="012AB61F">
      <w:pPr>
        <w:jc w:val="both"/>
        <w:rPr>
          <w:rFonts w:eastAsiaTheme="minorEastAsia"/>
          <w:sz w:val="22"/>
          <w:szCs w:val="22"/>
        </w:rPr>
      </w:pPr>
    </w:p>
    <w:p w14:paraId="1F1CFF02">
      <w:pPr>
        <w:jc w:val="both"/>
        <w:rPr>
          <w:rFonts w:eastAsiaTheme="minorEastAsia"/>
          <w:sz w:val="22"/>
          <w:szCs w:val="22"/>
        </w:rPr>
      </w:pPr>
      <w:r>
        <w:rPr>
          <w:rFonts w:eastAsiaTheme="minorEastAsia"/>
          <w:b/>
          <w:bCs/>
          <w:sz w:val="22"/>
          <w:szCs w:val="22"/>
        </w:rPr>
        <w:t>18.19.</w:t>
      </w:r>
      <w:r>
        <w:rPr>
          <w:rFonts w:eastAsiaTheme="minorEastAsia"/>
          <w:sz w:val="22"/>
          <w:szCs w:val="22"/>
        </w:rPr>
        <w:t xml:space="preserve"> Responsabilizar-se pelos danos causados diretamente à Administração ou a terceiros, decorrentes de sua culpa ou dolo na execução do Contrato, não excluindo ou reduzindo essa responsabilidade à fiscalização ou o acompanhamento pelo órgão interessado;</w:t>
      </w:r>
    </w:p>
    <w:p w14:paraId="42FAA925">
      <w:pPr>
        <w:jc w:val="both"/>
        <w:rPr>
          <w:rFonts w:eastAsiaTheme="minorEastAsia"/>
          <w:sz w:val="22"/>
          <w:szCs w:val="22"/>
        </w:rPr>
      </w:pPr>
    </w:p>
    <w:p w14:paraId="366FC2D3">
      <w:pPr>
        <w:jc w:val="both"/>
        <w:rPr>
          <w:rFonts w:eastAsiaTheme="minorEastAsia"/>
          <w:sz w:val="22"/>
          <w:szCs w:val="22"/>
        </w:rPr>
      </w:pPr>
      <w:r>
        <w:rPr>
          <w:rFonts w:eastAsiaTheme="minorEastAsia"/>
          <w:b/>
          <w:bCs/>
          <w:sz w:val="22"/>
          <w:szCs w:val="22"/>
        </w:rPr>
        <w:t>18.20.</w:t>
      </w:r>
      <w:r>
        <w:rPr>
          <w:rFonts w:eastAsiaTheme="minorEastAsia"/>
          <w:sz w:val="22"/>
          <w:szCs w:val="22"/>
        </w:rPr>
        <w:t xml:space="preserve"> Manter com a Contratante relação sempre formal, por escrito, ressalvados os entendimentos verbais motivados pela urgência, que deverão ser de imediato, confirmados por escrito;</w:t>
      </w:r>
    </w:p>
    <w:p w14:paraId="41F9B07D">
      <w:pPr>
        <w:jc w:val="both"/>
        <w:rPr>
          <w:rFonts w:eastAsiaTheme="minorEastAsia"/>
          <w:sz w:val="22"/>
          <w:szCs w:val="22"/>
        </w:rPr>
      </w:pPr>
    </w:p>
    <w:p w14:paraId="7891DCFC">
      <w:pPr>
        <w:jc w:val="both"/>
        <w:rPr>
          <w:rFonts w:eastAsiaTheme="minorEastAsia"/>
          <w:sz w:val="22"/>
          <w:szCs w:val="22"/>
        </w:rPr>
      </w:pPr>
      <w:r>
        <w:rPr>
          <w:rFonts w:eastAsiaTheme="minorEastAsia"/>
          <w:b/>
          <w:bCs/>
          <w:sz w:val="22"/>
          <w:szCs w:val="22"/>
        </w:rPr>
        <w:t>18.21.</w:t>
      </w:r>
      <w:r>
        <w:rPr>
          <w:rFonts w:eastAsiaTheme="minorEastAsia"/>
          <w:sz w:val="22"/>
          <w:szCs w:val="22"/>
        </w:rPr>
        <w:t xml:space="preserve"> Arcar com todos os ônus e encargos decorrentes da execução do objeto do contrato, compreendidas todas as despesas incidentes direta ou indiretamente no custo, inclusive os previdenciários e fiscais, tais como impostos ou taxas, custos de deslocamento, alimentos e alojamentos de seus empregados e prepostos, necessários ao fornecimento do objeto deste Termo de Referência;</w:t>
      </w:r>
    </w:p>
    <w:p w14:paraId="16923D7D">
      <w:pPr>
        <w:jc w:val="both"/>
        <w:rPr>
          <w:rFonts w:eastAsiaTheme="minorEastAsia"/>
          <w:sz w:val="22"/>
          <w:szCs w:val="22"/>
        </w:rPr>
      </w:pPr>
    </w:p>
    <w:p w14:paraId="0ED7A291">
      <w:pPr>
        <w:jc w:val="both"/>
        <w:rPr>
          <w:rFonts w:eastAsiaTheme="minorEastAsia"/>
          <w:sz w:val="22"/>
          <w:szCs w:val="22"/>
        </w:rPr>
      </w:pPr>
      <w:r>
        <w:rPr>
          <w:rFonts w:eastAsiaTheme="minorEastAsia"/>
          <w:b/>
          <w:bCs/>
          <w:sz w:val="22"/>
          <w:szCs w:val="22"/>
        </w:rPr>
        <w:t>18.22.</w:t>
      </w:r>
      <w:r>
        <w:rPr>
          <w:rFonts w:eastAsiaTheme="minorEastAsia"/>
          <w:sz w:val="22"/>
          <w:szCs w:val="22"/>
        </w:rPr>
        <w:t xml:space="preserve"> Os funcionários deverão possuir capacidade física e qualificação técnica que os capacitem a executar os serviços inerentes ao objeto desta contratação;</w:t>
      </w:r>
    </w:p>
    <w:p w14:paraId="55D3AE17">
      <w:pPr>
        <w:jc w:val="both"/>
        <w:rPr>
          <w:rFonts w:eastAsiaTheme="minorEastAsia"/>
          <w:sz w:val="22"/>
          <w:szCs w:val="22"/>
        </w:rPr>
      </w:pPr>
    </w:p>
    <w:p w14:paraId="01844143">
      <w:pPr>
        <w:jc w:val="both"/>
        <w:rPr>
          <w:rFonts w:eastAsiaTheme="minorEastAsia"/>
          <w:sz w:val="22"/>
          <w:szCs w:val="22"/>
        </w:rPr>
      </w:pPr>
      <w:r>
        <w:rPr>
          <w:rFonts w:eastAsiaTheme="minorEastAsia"/>
          <w:b/>
          <w:bCs/>
          <w:sz w:val="22"/>
          <w:szCs w:val="22"/>
        </w:rPr>
        <w:t>18.23.</w:t>
      </w:r>
      <w:r>
        <w:rPr>
          <w:rFonts w:eastAsiaTheme="minorEastAsia"/>
          <w:sz w:val="22"/>
          <w:szCs w:val="22"/>
        </w:rPr>
        <w:t xml:space="preserve"> A Contratada deverá manter, para execução de todos os serviços, a equipe correspondente na planilha de especificação e na Memória de Cálculo, fornecida pela contratante;</w:t>
      </w:r>
    </w:p>
    <w:p w14:paraId="573C88FC">
      <w:pPr>
        <w:jc w:val="both"/>
        <w:rPr>
          <w:rFonts w:eastAsiaTheme="minorEastAsia"/>
          <w:sz w:val="22"/>
          <w:szCs w:val="22"/>
        </w:rPr>
      </w:pPr>
    </w:p>
    <w:p w14:paraId="49C85DBD">
      <w:pPr>
        <w:jc w:val="both"/>
        <w:rPr>
          <w:rFonts w:eastAsiaTheme="minorEastAsia"/>
          <w:sz w:val="22"/>
          <w:szCs w:val="22"/>
        </w:rPr>
      </w:pPr>
      <w:r>
        <w:rPr>
          <w:rFonts w:eastAsiaTheme="minorEastAsia"/>
          <w:b/>
          <w:bCs/>
          <w:sz w:val="22"/>
          <w:szCs w:val="22"/>
        </w:rPr>
        <w:t>18.24.</w:t>
      </w:r>
      <w:r>
        <w:rPr>
          <w:rFonts w:eastAsiaTheme="minorEastAsia"/>
          <w:sz w:val="22"/>
          <w:szCs w:val="22"/>
        </w:rPr>
        <w:t xml:space="preserve"> Todas as ferramentas e materiais para execução dos serviços descritos nos itens anteriores serão fornecidos pela CONTRATADA;</w:t>
      </w:r>
    </w:p>
    <w:p w14:paraId="3BBCA680">
      <w:pPr>
        <w:jc w:val="both"/>
        <w:rPr>
          <w:rFonts w:eastAsiaTheme="minorEastAsia"/>
          <w:sz w:val="22"/>
          <w:szCs w:val="22"/>
        </w:rPr>
      </w:pPr>
    </w:p>
    <w:p w14:paraId="26C0F08F">
      <w:pPr>
        <w:jc w:val="both"/>
        <w:rPr>
          <w:rFonts w:eastAsiaTheme="minorEastAsia"/>
          <w:sz w:val="22"/>
          <w:szCs w:val="22"/>
        </w:rPr>
      </w:pPr>
      <w:r>
        <w:rPr>
          <w:rFonts w:eastAsiaTheme="minorEastAsia"/>
          <w:b/>
          <w:bCs/>
          <w:sz w:val="22"/>
          <w:szCs w:val="22"/>
        </w:rPr>
        <w:t>18.25.</w:t>
      </w:r>
      <w:r>
        <w:rPr>
          <w:rFonts w:eastAsiaTheme="minorEastAsia"/>
          <w:sz w:val="22"/>
          <w:szCs w:val="22"/>
        </w:rPr>
        <w:t xml:space="preserve"> A Equipe terá, necessariamente, que contar com todos os funcionários, devidamente uniformizados, incluindo botas e demais equipamentos de segurança para a correta prestação dos serviços;</w:t>
      </w:r>
    </w:p>
    <w:p w14:paraId="29B8163D">
      <w:pPr>
        <w:jc w:val="both"/>
        <w:rPr>
          <w:rFonts w:eastAsiaTheme="minorEastAsia"/>
          <w:sz w:val="22"/>
          <w:szCs w:val="22"/>
        </w:rPr>
      </w:pPr>
    </w:p>
    <w:p w14:paraId="52D9552C">
      <w:pPr>
        <w:jc w:val="both"/>
        <w:rPr>
          <w:rFonts w:eastAsiaTheme="minorEastAsia"/>
          <w:sz w:val="22"/>
          <w:szCs w:val="22"/>
        </w:rPr>
      </w:pPr>
      <w:r>
        <w:rPr>
          <w:rFonts w:eastAsiaTheme="minorEastAsia"/>
          <w:b/>
          <w:bCs/>
          <w:sz w:val="22"/>
          <w:szCs w:val="22"/>
        </w:rPr>
        <w:t>18.26.</w:t>
      </w:r>
      <w:r>
        <w:rPr>
          <w:rFonts w:eastAsiaTheme="minorEastAsia"/>
          <w:sz w:val="22"/>
          <w:szCs w:val="22"/>
        </w:rPr>
        <w:t xml:space="preserve"> No caso de ocorrência de quebra de algum equipamento, as despesas da retirada, correrão por conta da Contratada, sem prejuízo de sua pronta substituição;</w:t>
      </w:r>
    </w:p>
    <w:p w14:paraId="3F285F72">
      <w:pPr>
        <w:jc w:val="both"/>
        <w:rPr>
          <w:rFonts w:eastAsiaTheme="minorEastAsia"/>
          <w:sz w:val="22"/>
          <w:szCs w:val="22"/>
        </w:rPr>
      </w:pPr>
    </w:p>
    <w:p w14:paraId="76A54DCD">
      <w:pPr>
        <w:jc w:val="both"/>
        <w:rPr>
          <w:rFonts w:eastAsiaTheme="minorEastAsia"/>
          <w:sz w:val="22"/>
          <w:szCs w:val="22"/>
        </w:rPr>
      </w:pPr>
      <w:r>
        <w:rPr>
          <w:rFonts w:eastAsiaTheme="minorEastAsia"/>
          <w:b/>
          <w:bCs/>
          <w:sz w:val="22"/>
          <w:szCs w:val="22"/>
        </w:rPr>
        <w:t>18.27.</w:t>
      </w:r>
      <w:r>
        <w:rPr>
          <w:rFonts w:eastAsiaTheme="minorEastAsia"/>
          <w:sz w:val="22"/>
          <w:szCs w:val="22"/>
        </w:rPr>
        <w:t xml:space="preserve"> A critério da fiscalização, quando os serviços não forem executados em conformidade com a boa técnica, deverão ser refeitos pela CONTRATADA, sem qualquer ônus para a CONTRATANTE, em horário e/ou dia diferentes dos programados para a execução dos serviços normais da equipe;</w:t>
      </w:r>
    </w:p>
    <w:p w14:paraId="2D9C09E6">
      <w:pPr>
        <w:jc w:val="both"/>
        <w:rPr>
          <w:rFonts w:eastAsiaTheme="minorEastAsia"/>
          <w:sz w:val="22"/>
          <w:szCs w:val="22"/>
        </w:rPr>
      </w:pPr>
    </w:p>
    <w:p w14:paraId="3EA6A2FD">
      <w:pPr>
        <w:jc w:val="both"/>
        <w:rPr>
          <w:rFonts w:eastAsiaTheme="minorEastAsia"/>
          <w:sz w:val="22"/>
          <w:szCs w:val="22"/>
        </w:rPr>
      </w:pPr>
      <w:r>
        <w:rPr>
          <w:rFonts w:eastAsiaTheme="minorEastAsia"/>
          <w:b/>
          <w:bCs/>
          <w:sz w:val="22"/>
          <w:szCs w:val="22"/>
        </w:rPr>
        <w:t>18.28.</w:t>
      </w:r>
      <w:r>
        <w:rPr>
          <w:rFonts w:eastAsiaTheme="minorEastAsia"/>
          <w:sz w:val="22"/>
          <w:szCs w:val="22"/>
        </w:rPr>
        <w:t xml:space="preserve"> A CONTRATADA deverá disponibilizar, em tempo hábil, todos equipamentos, ferramentas, EPI’s e EPC’s, que se fizerem necessários para a execução dos trabalhos, ao longo de toda a vigência contratual;</w:t>
      </w:r>
    </w:p>
    <w:p w14:paraId="35E88700">
      <w:pPr>
        <w:jc w:val="both"/>
        <w:rPr>
          <w:rFonts w:eastAsiaTheme="minorEastAsia"/>
          <w:sz w:val="22"/>
          <w:szCs w:val="22"/>
        </w:rPr>
      </w:pPr>
    </w:p>
    <w:p w14:paraId="19C7A4F2">
      <w:pPr>
        <w:jc w:val="both"/>
        <w:rPr>
          <w:rFonts w:eastAsiaTheme="minorEastAsia"/>
          <w:sz w:val="22"/>
          <w:szCs w:val="22"/>
        </w:rPr>
      </w:pPr>
      <w:r>
        <w:rPr>
          <w:rFonts w:eastAsiaTheme="minorEastAsia"/>
          <w:b/>
          <w:bCs/>
          <w:sz w:val="22"/>
          <w:szCs w:val="22"/>
        </w:rPr>
        <w:t>18.29.</w:t>
      </w:r>
      <w:r>
        <w:rPr>
          <w:rFonts w:eastAsiaTheme="minorEastAsia"/>
          <w:sz w:val="22"/>
          <w:szCs w:val="22"/>
        </w:rPr>
        <w:t xml:space="preserve"> É de total responsabilidade da CONTRATADA, fornecer os E.P.I.s e E.P.C. em perfeitas condições e com Certificado de Aprovação expedido pelo Ministério do Trabalho e Emprego. Quando o Fiscal do Contrato solicitar a troca ou outro tipo de E.P.I ou E.P.C, a CONTRATADA terá o prazo máximo de 24 (vinte e quatro) horas para providenciar a solicitação emitida por escrito do Fiscal do Contrato;</w:t>
      </w:r>
    </w:p>
    <w:p w14:paraId="0D9E910D">
      <w:pPr>
        <w:jc w:val="both"/>
        <w:rPr>
          <w:rFonts w:eastAsiaTheme="minorEastAsia"/>
          <w:sz w:val="22"/>
          <w:szCs w:val="22"/>
        </w:rPr>
      </w:pPr>
    </w:p>
    <w:p w14:paraId="1B0F9402">
      <w:pPr>
        <w:jc w:val="both"/>
        <w:rPr>
          <w:rFonts w:eastAsiaTheme="minorEastAsia"/>
          <w:sz w:val="22"/>
          <w:szCs w:val="22"/>
        </w:rPr>
      </w:pPr>
      <w:r>
        <w:rPr>
          <w:rFonts w:eastAsiaTheme="minorEastAsia"/>
          <w:b/>
          <w:bCs/>
          <w:sz w:val="22"/>
          <w:szCs w:val="22"/>
        </w:rPr>
        <w:t>18.30.</w:t>
      </w:r>
      <w:r>
        <w:rPr>
          <w:rFonts w:eastAsiaTheme="minorEastAsia"/>
          <w:sz w:val="22"/>
          <w:szCs w:val="22"/>
        </w:rPr>
        <w:t xml:space="preserve"> Os vícios aparentes devem ser sanados imediatamente, conforme a notificação pelo responsável pela fiscalização;</w:t>
      </w:r>
    </w:p>
    <w:p w14:paraId="0D8EFD97">
      <w:pPr>
        <w:jc w:val="both"/>
        <w:rPr>
          <w:rFonts w:eastAsiaTheme="minorEastAsia"/>
          <w:sz w:val="22"/>
          <w:szCs w:val="22"/>
        </w:rPr>
      </w:pPr>
    </w:p>
    <w:p w14:paraId="3FADDE21">
      <w:pPr>
        <w:jc w:val="both"/>
        <w:rPr>
          <w:rFonts w:eastAsiaTheme="minorEastAsia"/>
          <w:sz w:val="22"/>
          <w:szCs w:val="22"/>
        </w:rPr>
      </w:pPr>
      <w:r>
        <w:rPr>
          <w:rFonts w:eastAsiaTheme="minorEastAsia"/>
          <w:b/>
          <w:bCs/>
          <w:sz w:val="22"/>
          <w:szCs w:val="22"/>
        </w:rPr>
        <w:t>18.31.</w:t>
      </w:r>
      <w:r>
        <w:rPr>
          <w:rFonts w:eastAsiaTheme="minorEastAsia"/>
          <w:sz w:val="22"/>
          <w:szCs w:val="22"/>
        </w:rPr>
        <w:t xml:space="preserve"> A empresa deve se responsabilizar pela existência de vícios ocultos, que venham a ser constatados após a execução dos serviços;</w:t>
      </w:r>
    </w:p>
    <w:p w14:paraId="303DC2FD">
      <w:pPr>
        <w:jc w:val="both"/>
        <w:rPr>
          <w:rFonts w:eastAsiaTheme="minorEastAsia"/>
          <w:sz w:val="22"/>
          <w:szCs w:val="22"/>
        </w:rPr>
      </w:pPr>
    </w:p>
    <w:p w14:paraId="0C2F63D2">
      <w:pPr>
        <w:jc w:val="both"/>
        <w:rPr>
          <w:rFonts w:eastAsiaTheme="minorEastAsia"/>
          <w:sz w:val="22"/>
          <w:szCs w:val="22"/>
        </w:rPr>
      </w:pPr>
      <w:r>
        <w:rPr>
          <w:rFonts w:eastAsiaTheme="minorEastAsia"/>
          <w:b/>
          <w:bCs/>
          <w:sz w:val="22"/>
          <w:szCs w:val="22"/>
        </w:rPr>
        <w:t>18.32.</w:t>
      </w:r>
      <w:r>
        <w:rPr>
          <w:rFonts w:eastAsiaTheme="minorEastAsia"/>
          <w:sz w:val="22"/>
          <w:szCs w:val="22"/>
        </w:rPr>
        <w:t xml:space="preserve"> Os rejeitos, caso existam, devem ser dispostos de maneira a cumprir a legislação ambiental.</w:t>
      </w:r>
    </w:p>
    <w:p w14:paraId="5B8BDEDE">
      <w:pPr>
        <w:pStyle w:val="9"/>
        <w:numPr>
          <w:ilvl w:val="0"/>
          <w:numId w:val="0"/>
        </w:numPr>
        <w:rPr>
          <w:color w:val="FF0000"/>
          <w:sz w:val="22"/>
          <w:szCs w:val="22"/>
        </w:rPr>
      </w:pPr>
      <w:r>
        <w:rPr>
          <w:sz w:val="22"/>
          <w:szCs w:val="22"/>
        </w:rPr>
        <w:t xml:space="preserve"> </w:t>
      </w:r>
      <w:r>
        <w:rPr>
          <w:sz w:val="22"/>
          <w:szCs w:val="22"/>
        </w:rPr>
        <w:tab/>
      </w:r>
      <w:bookmarkEnd w:id="9"/>
    </w:p>
    <w:p w14:paraId="1FF1CD08">
      <w:pPr>
        <w:jc w:val="both"/>
        <w:rPr>
          <w:b/>
          <w:bCs/>
          <w:sz w:val="22"/>
          <w:szCs w:val="22"/>
        </w:rPr>
      </w:pPr>
      <w:r>
        <w:rPr>
          <w:b/>
          <w:bCs/>
          <w:sz w:val="22"/>
          <w:szCs w:val="22"/>
        </w:rPr>
        <w:t>19. DA ALTERAÇÃO SUBJETIVA:</w:t>
      </w:r>
    </w:p>
    <w:p w14:paraId="1A537257">
      <w:pPr>
        <w:jc w:val="both"/>
        <w:rPr>
          <w:sz w:val="22"/>
          <w:szCs w:val="22"/>
        </w:rPr>
      </w:pPr>
    </w:p>
    <w:p w14:paraId="0E56438F">
      <w:pPr>
        <w:ind w:firstLine="708"/>
        <w:jc w:val="both"/>
        <w:rPr>
          <w:sz w:val="22"/>
          <w:szCs w:val="22"/>
        </w:rPr>
      </w:pPr>
      <w:r>
        <w:rPr>
          <w:sz w:val="22"/>
          <w:szCs w:val="22"/>
        </w:rPr>
        <w:t xml:space="preserve">19.1. </w:t>
      </w:r>
      <w:r>
        <w:rPr>
          <w:rFonts w:hint="default"/>
          <w:sz w:val="22"/>
          <w:szCs w:val="22"/>
          <w:lang w:val="pt-BR"/>
        </w:rPr>
        <w:t>É</w:t>
      </w:r>
      <w:r>
        <w:rPr>
          <w:sz w:val="22"/>
          <w:szCs w:val="22"/>
        </w:rPr>
        <w:t xml:space="preserve">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04F2C33B">
      <w:pPr>
        <w:ind w:firstLine="708"/>
        <w:jc w:val="both"/>
        <w:rPr>
          <w:sz w:val="22"/>
          <w:szCs w:val="22"/>
        </w:rPr>
      </w:pPr>
    </w:p>
    <w:p w14:paraId="1E6A7129">
      <w:pPr>
        <w:ind w:firstLine="708"/>
        <w:jc w:val="both"/>
        <w:rPr>
          <w:sz w:val="22"/>
          <w:szCs w:val="22"/>
        </w:rPr>
      </w:pPr>
    </w:p>
    <w:p w14:paraId="7483EBD0">
      <w:pPr>
        <w:pStyle w:val="34"/>
        <w:tabs>
          <w:tab w:val="clear" w:pos="708"/>
        </w:tabs>
        <w:spacing w:after="0" w:line="240" w:lineRule="auto"/>
        <w:jc w:val="both"/>
        <w:rPr>
          <w:rFonts w:cs="Times New Roman"/>
          <w:sz w:val="22"/>
          <w:szCs w:val="22"/>
        </w:rPr>
      </w:pPr>
      <w:r>
        <w:rPr>
          <w:rFonts w:cs="Times New Roman"/>
          <w:b/>
          <w:bCs/>
          <w:sz w:val="22"/>
          <w:szCs w:val="22"/>
        </w:rPr>
        <w:t>20. CRITÉRIOS DE MEDIÇÃO E DE PAGAMENTO:</w:t>
      </w:r>
    </w:p>
    <w:p w14:paraId="03FA7411">
      <w:pPr>
        <w:pStyle w:val="34"/>
        <w:tabs>
          <w:tab w:val="clear" w:pos="708"/>
        </w:tabs>
        <w:spacing w:after="0" w:line="240" w:lineRule="auto"/>
        <w:jc w:val="both"/>
        <w:rPr>
          <w:rFonts w:cs="Times New Roman"/>
          <w:sz w:val="22"/>
          <w:szCs w:val="22"/>
        </w:rPr>
      </w:pPr>
    </w:p>
    <w:p w14:paraId="786690F5">
      <w:pPr>
        <w:pStyle w:val="21"/>
        <w:numPr>
          <w:ilvl w:val="0"/>
          <w:numId w:val="0"/>
        </w:numPr>
        <w:spacing w:before="0" w:after="0" w:line="240" w:lineRule="auto"/>
        <w:ind w:firstLine="708"/>
        <w:rPr>
          <w:rFonts w:ascii="Times New Roman" w:hAnsi="Times New Roman" w:cs="Times New Roman"/>
          <w:b/>
          <w:bCs/>
          <w:sz w:val="22"/>
          <w:szCs w:val="22"/>
          <w:lang w:eastAsia="en-US"/>
        </w:rPr>
      </w:pPr>
      <w:r>
        <w:rPr>
          <w:rFonts w:ascii="Times New Roman" w:hAnsi="Times New Roman" w:cs="Times New Roman"/>
          <w:b/>
          <w:bCs/>
          <w:sz w:val="22"/>
          <w:szCs w:val="22"/>
          <w:lang w:eastAsia="en-US"/>
        </w:rPr>
        <w:t>Medição</w:t>
      </w:r>
    </w:p>
    <w:p w14:paraId="3FF45FAB">
      <w:pPr>
        <w:pStyle w:val="34"/>
        <w:tabs>
          <w:tab w:val="clear" w:pos="708"/>
        </w:tabs>
        <w:spacing w:after="0" w:line="240" w:lineRule="auto"/>
        <w:jc w:val="both"/>
        <w:rPr>
          <w:rFonts w:cs="Times New Roman"/>
          <w:sz w:val="22"/>
          <w:szCs w:val="22"/>
        </w:rPr>
      </w:pPr>
    </w:p>
    <w:p w14:paraId="5717AB5E">
      <w:pPr>
        <w:pStyle w:val="19"/>
        <w:numPr>
          <w:ilvl w:val="0"/>
          <w:numId w:val="13"/>
        </w:numPr>
        <w:tabs>
          <w:tab w:val="left" w:pos="425"/>
        </w:tabs>
        <w:spacing w:after="0" w:line="360" w:lineRule="auto"/>
        <w:contextualSpacing w:val="0"/>
        <w:jc w:val="both"/>
        <w:rPr>
          <w:rFonts w:ascii="Times New Roman" w:hAnsi="Times New Roman" w:eastAsia="Times New Roman"/>
          <w:vanish/>
          <w:lang w:val="pt-BR"/>
        </w:rPr>
      </w:pPr>
    </w:p>
    <w:p w14:paraId="6F246ADA">
      <w:pPr>
        <w:pStyle w:val="19"/>
        <w:numPr>
          <w:ilvl w:val="0"/>
          <w:numId w:val="13"/>
        </w:numPr>
        <w:tabs>
          <w:tab w:val="left" w:pos="425"/>
        </w:tabs>
        <w:spacing w:after="0" w:line="360" w:lineRule="auto"/>
        <w:contextualSpacing w:val="0"/>
        <w:jc w:val="both"/>
        <w:rPr>
          <w:rFonts w:ascii="Times New Roman" w:hAnsi="Times New Roman" w:eastAsia="Times New Roman"/>
          <w:vanish/>
          <w:lang w:val="pt-BR"/>
        </w:rPr>
      </w:pPr>
    </w:p>
    <w:p w14:paraId="696F78BE">
      <w:pPr>
        <w:numPr>
          <w:ilvl w:val="1"/>
          <w:numId w:val="13"/>
        </w:numPr>
        <w:tabs>
          <w:tab w:val="left" w:pos="567"/>
        </w:tabs>
        <w:jc w:val="both"/>
        <w:rPr>
          <w:sz w:val="22"/>
          <w:szCs w:val="22"/>
          <w:lang w:eastAsia="en-US"/>
        </w:rPr>
      </w:pPr>
      <w:r>
        <w:rPr>
          <w:sz w:val="22"/>
          <w:szCs w:val="22"/>
          <w:lang w:eastAsia="en-US"/>
        </w:rPr>
        <w:t xml:space="preserve">Os Serviços serão atestados através de medições, conforme cronograma financeiro, que consiste na verificação pela fiscalização da CONTRATANTE, no local onde estão sendo realizados os serviços, de que os mesmos foram realizados conforme estabelecido neste Termo de Referência e demais documentos que fazem parte integrante do objeto licitatório.  </w:t>
      </w:r>
    </w:p>
    <w:p w14:paraId="06D88817">
      <w:pPr>
        <w:spacing w:line="360" w:lineRule="auto"/>
        <w:jc w:val="both"/>
        <w:rPr>
          <w:sz w:val="22"/>
          <w:szCs w:val="22"/>
          <w:lang w:eastAsia="en-US"/>
        </w:rPr>
      </w:pPr>
    </w:p>
    <w:p w14:paraId="09FBCC30">
      <w:pPr>
        <w:numPr>
          <w:ilvl w:val="1"/>
          <w:numId w:val="13"/>
        </w:numPr>
        <w:ind w:left="7" w:hanging="7"/>
        <w:jc w:val="both"/>
        <w:rPr>
          <w:sz w:val="22"/>
          <w:szCs w:val="22"/>
          <w:lang w:eastAsia="en-US"/>
        </w:rPr>
      </w:pPr>
      <w:r>
        <w:rPr>
          <w:sz w:val="22"/>
          <w:szCs w:val="22"/>
          <w:lang w:eastAsia="en-US"/>
        </w:rPr>
        <w:t>Os serviços poderão ser rejeitados, no todo ou em parte, inclusive antes da medição, quando em desacordo com as especificações constantes no Termo de Referência</w:t>
      </w:r>
      <w:r>
        <w:rPr>
          <w:color w:val="FF0000"/>
          <w:sz w:val="22"/>
          <w:szCs w:val="22"/>
          <w:lang w:eastAsia="en-US"/>
        </w:rPr>
        <w:t xml:space="preserve"> </w:t>
      </w:r>
      <w:r>
        <w:rPr>
          <w:sz w:val="22"/>
          <w:szCs w:val="22"/>
          <w:lang w:eastAsia="en-US"/>
        </w:rPr>
        <w:t>e nos demais documentos integrantes do processo licitatório, devendo ser refeitos no prazo de 15 (quinze)</w:t>
      </w:r>
      <w:r>
        <w:rPr>
          <w:color w:val="FF0000"/>
          <w:sz w:val="22"/>
          <w:szCs w:val="22"/>
          <w:lang w:eastAsia="en-US"/>
        </w:rPr>
        <w:t xml:space="preserve"> </w:t>
      </w:r>
      <w:r>
        <w:rPr>
          <w:sz w:val="22"/>
          <w:szCs w:val="22"/>
          <w:lang w:eastAsia="en-US"/>
        </w:rPr>
        <w:t xml:space="preserve">dias, a contar da notificação à contratada, às suas custas, sem prejuízo da aplicação das penalidades. </w:t>
      </w:r>
    </w:p>
    <w:p w14:paraId="321FED68">
      <w:pPr>
        <w:spacing w:line="360" w:lineRule="auto"/>
        <w:jc w:val="both"/>
        <w:rPr>
          <w:sz w:val="22"/>
          <w:szCs w:val="22"/>
          <w:lang w:eastAsia="en-US"/>
        </w:rPr>
      </w:pPr>
    </w:p>
    <w:p w14:paraId="1177CFCC">
      <w:pPr>
        <w:numPr>
          <w:ilvl w:val="1"/>
          <w:numId w:val="13"/>
        </w:numPr>
        <w:ind w:left="7" w:hanging="7"/>
        <w:jc w:val="both"/>
        <w:rPr>
          <w:sz w:val="22"/>
          <w:szCs w:val="22"/>
          <w:lang w:eastAsia="en-US"/>
        </w:rPr>
      </w:pPr>
      <w:r>
        <w:rPr>
          <w:sz w:val="22"/>
          <w:szCs w:val="22"/>
          <w:lang w:eastAsia="en-US"/>
        </w:rPr>
        <w:t>Após a aprovação da medição por parte da fiscalização será solicitada a CONTRATADA a emissão da nota fiscal ou instrumento de cobrança equivalente.</w:t>
      </w:r>
    </w:p>
    <w:p w14:paraId="176F1D35">
      <w:pPr>
        <w:spacing w:line="360" w:lineRule="auto"/>
        <w:jc w:val="both"/>
        <w:rPr>
          <w:sz w:val="22"/>
          <w:szCs w:val="22"/>
          <w:lang w:eastAsia="en-US"/>
        </w:rPr>
      </w:pPr>
    </w:p>
    <w:p w14:paraId="333B8A0C">
      <w:pPr>
        <w:numPr>
          <w:ilvl w:val="1"/>
          <w:numId w:val="13"/>
        </w:numPr>
        <w:ind w:left="7" w:hanging="7"/>
        <w:jc w:val="both"/>
        <w:rPr>
          <w:bCs/>
          <w:sz w:val="22"/>
          <w:szCs w:val="22"/>
          <w:lang w:eastAsia="en-US"/>
        </w:rPr>
      </w:pPr>
      <w:r>
        <w:rPr>
          <w:sz w:val="22"/>
          <w:szCs w:val="22"/>
          <w:lang w:eastAsia="en-US"/>
        </w:rPr>
        <w:t>O prazo para recebimento definitivo poderá ser excepcionalmente prorrogado, de forma justificada, por igual período, quando houver necessidade de diligências para a aferição do atendimento das exigências contratuais.</w:t>
      </w:r>
    </w:p>
    <w:p w14:paraId="4851A622">
      <w:pPr>
        <w:spacing w:line="360" w:lineRule="auto"/>
        <w:jc w:val="both"/>
        <w:rPr>
          <w:bCs/>
          <w:sz w:val="22"/>
          <w:szCs w:val="22"/>
          <w:lang w:eastAsia="en-US"/>
        </w:rPr>
      </w:pPr>
    </w:p>
    <w:p w14:paraId="33FC422E">
      <w:pPr>
        <w:numPr>
          <w:ilvl w:val="1"/>
          <w:numId w:val="13"/>
        </w:numPr>
        <w:ind w:left="7" w:hanging="7"/>
        <w:jc w:val="both"/>
        <w:rPr>
          <w:sz w:val="22"/>
          <w:szCs w:val="22"/>
          <w:lang w:eastAsia="en-US"/>
        </w:rPr>
      </w:pPr>
      <w:r>
        <w:rPr>
          <w:bCs/>
          <w:sz w:val="22"/>
          <w:szCs w:val="22"/>
          <w:lang w:eastAsia="en-US"/>
        </w:rPr>
        <w:t xml:space="preserve">No caso de controvérsia entre a medição solicitada pela CONTRATADA e a Atestada pela CONTRATANTE, quanto à dimensão, qualidade e quantidade, deverá ser observado o teor do </w:t>
      </w:r>
      <w:r>
        <w:fldChar w:fldCharType="begin"/>
      </w:r>
      <w:r>
        <w:instrText xml:space="preserve"> HYPERLINK "http://www.planalto.gov.br/ccivil_03/_ato2019-2022/2021/lei/L14133.htm" \l "art143" </w:instrText>
      </w:r>
      <w:r>
        <w:fldChar w:fldCharType="separate"/>
      </w:r>
      <w:r>
        <w:rPr>
          <w:rStyle w:val="8"/>
          <w:bCs/>
          <w:sz w:val="22"/>
          <w:szCs w:val="22"/>
          <w:lang w:eastAsia="en-US"/>
        </w:rPr>
        <w:t>art. 143 da Lei nº 14.133, de 2021</w:t>
      </w:r>
      <w:r>
        <w:rPr>
          <w:rStyle w:val="8"/>
          <w:bCs/>
          <w:sz w:val="22"/>
          <w:szCs w:val="22"/>
          <w:lang w:eastAsia="en-US"/>
        </w:rPr>
        <w:fldChar w:fldCharType="end"/>
      </w:r>
      <w:r>
        <w:rPr>
          <w:bCs/>
          <w:sz w:val="22"/>
          <w:szCs w:val="22"/>
          <w:lang w:eastAsia="en-US"/>
        </w:rPr>
        <w:t>, comunicando-se à empresa para emissão de Nota Fiscal no que pertine à parcela incontroversa da execução do objeto, para efeito de liquidação e pagamento.</w:t>
      </w:r>
    </w:p>
    <w:p w14:paraId="7BCAFE11">
      <w:pPr>
        <w:jc w:val="both"/>
        <w:rPr>
          <w:sz w:val="22"/>
          <w:szCs w:val="22"/>
          <w:lang w:eastAsia="en-US"/>
        </w:rPr>
      </w:pPr>
    </w:p>
    <w:p w14:paraId="781260A5">
      <w:pPr>
        <w:numPr>
          <w:ilvl w:val="1"/>
          <w:numId w:val="13"/>
        </w:numPr>
        <w:ind w:left="7" w:hanging="7"/>
        <w:jc w:val="both"/>
        <w:rPr>
          <w:sz w:val="22"/>
          <w:szCs w:val="22"/>
          <w:lang w:eastAsia="en-US"/>
        </w:rPr>
      </w:pPr>
      <w:r>
        <w:rPr>
          <w:sz w:val="22"/>
          <w:szCs w:val="22"/>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2ECFE42F">
      <w:pPr>
        <w:pStyle w:val="21"/>
        <w:numPr>
          <w:ilvl w:val="0"/>
          <w:numId w:val="0"/>
        </w:numPr>
        <w:spacing w:before="0" w:after="0" w:line="240" w:lineRule="auto"/>
        <w:ind w:firstLine="708"/>
        <w:rPr>
          <w:rFonts w:ascii="Times New Roman" w:hAnsi="Times New Roman" w:cs="Times New Roman"/>
          <w:sz w:val="22"/>
          <w:szCs w:val="22"/>
          <w:lang w:eastAsia="en-US"/>
        </w:rPr>
      </w:pPr>
    </w:p>
    <w:p w14:paraId="4A212472">
      <w:pPr>
        <w:pStyle w:val="21"/>
        <w:numPr>
          <w:ilvl w:val="0"/>
          <w:numId w:val="0"/>
        </w:numPr>
        <w:spacing w:before="0" w:after="0" w:line="240" w:lineRule="auto"/>
        <w:ind w:firstLine="708"/>
        <w:rPr>
          <w:rFonts w:ascii="Times New Roman" w:hAnsi="Times New Roman" w:cs="Times New Roman"/>
          <w:b/>
          <w:bCs/>
          <w:sz w:val="22"/>
          <w:szCs w:val="22"/>
          <w:lang w:eastAsia="en-US"/>
        </w:rPr>
      </w:pPr>
      <w:r>
        <w:rPr>
          <w:rFonts w:ascii="Times New Roman" w:hAnsi="Times New Roman" w:cs="Times New Roman"/>
          <w:b/>
          <w:bCs/>
          <w:sz w:val="22"/>
          <w:szCs w:val="22"/>
          <w:lang w:eastAsia="en-US"/>
        </w:rPr>
        <w:t>Liquidação</w:t>
      </w:r>
    </w:p>
    <w:p w14:paraId="5062C3E9">
      <w:pPr>
        <w:pStyle w:val="21"/>
        <w:numPr>
          <w:ilvl w:val="0"/>
          <w:numId w:val="0"/>
        </w:numPr>
        <w:spacing w:before="0" w:after="0" w:line="240" w:lineRule="auto"/>
        <w:ind w:firstLine="708"/>
        <w:rPr>
          <w:rFonts w:ascii="Times New Roman" w:hAnsi="Times New Roman" w:cs="Times New Roman"/>
          <w:b/>
          <w:bCs/>
          <w:sz w:val="22"/>
          <w:szCs w:val="22"/>
          <w:lang w:eastAsia="en-US"/>
        </w:rPr>
      </w:pPr>
    </w:p>
    <w:p w14:paraId="4DF27B60">
      <w:pPr>
        <w:numPr>
          <w:ilvl w:val="1"/>
          <w:numId w:val="13"/>
        </w:numPr>
        <w:ind w:left="7" w:hanging="7"/>
        <w:jc w:val="both"/>
        <w:rPr>
          <w:sz w:val="22"/>
          <w:szCs w:val="22"/>
          <w:lang w:eastAsia="en-US"/>
        </w:rPr>
      </w:pPr>
      <w:r>
        <w:rPr>
          <w:sz w:val="22"/>
          <w:szCs w:val="22"/>
          <w:lang w:eastAsia="en-US"/>
        </w:rPr>
        <w:t xml:space="preserve">Recebida a Nota Fiscal ou documento de cobrança equivalente, correrá o prazo de </w:t>
      </w:r>
      <w:r>
        <w:rPr>
          <w:sz w:val="22"/>
          <w:szCs w:val="22"/>
          <w:highlight w:val="yellow"/>
          <w:lang w:eastAsia="en-US"/>
        </w:rPr>
        <w:t>30 (trinta) dias</w:t>
      </w:r>
      <w:r>
        <w:rPr>
          <w:sz w:val="22"/>
          <w:szCs w:val="22"/>
          <w:lang w:eastAsia="en-US"/>
        </w:rPr>
        <w:t xml:space="preserve"> úteis para fins de liquidação, na forma desta seção, prorrogáveis por igual período.</w:t>
      </w:r>
    </w:p>
    <w:p w14:paraId="75DFA741">
      <w:pPr>
        <w:spacing w:line="360" w:lineRule="auto"/>
        <w:jc w:val="both"/>
        <w:rPr>
          <w:sz w:val="22"/>
          <w:szCs w:val="22"/>
          <w:lang w:eastAsia="en-US"/>
        </w:rPr>
      </w:pPr>
    </w:p>
    <w:p w14:paraId="5C3F37A7">
      <w:pPr>
        <w:numPr>
          <w:ilvl w:val="1"/>
          <w:numId w:val="13"/>
        </w:numPr>
        <w:ind w:left="7" w:hanging="7"/>
        <w:jc w:val="both"/>
        <w:rPr>
          <w:sz w:val="22"/>
          <w:szCs w:val="22"/>
          <w:lang w:eastAsia="en-US"/>
        </w:rPr>
      </w:pPr>
      <w:r>
        <w:rPr>
          <w:sz w:val="22"/>
          <w:szCs w:val="22"/>
          <w:lang w:eastAsia="en-US"/>
        </w:rPr>
        <w:t xml:space="preserve"> Para fins de liquidação, o setor competente deverá verificar se a nota fiscal ou instrumento de cobrança equivalente apresentado expressa os elementos necessários e essenciais do documento, tais como: </w:t>
      </w:r>
    </w:p>
    <w:p w14:paraId="3849D764">
      <w:pPr>
        <w:numPr>
          <w:ilvl w:val="0"/>
          <w:numId w:val="14"/>
        </w:numPr>
        <w:suppressAutoHyphens/>
        <w:ind w:left="851" w:firstLine="0"/>
        <w:contextualSpacing/>
        <w:jc w:val="both"/>
        <w:rPr>
          <w:rFonts w:eastAsia="Calibri"/>
          <w:color w:val="000000"/>
          <w:sz w:val="22"/>
          <w:szCs w:val="22"/>
          <w:lang w:eastAsia="en-US"/>
        </w:rPr>
      </w:pPr>
      <w:r>
        <w:rPr>
          <w:rFonts w:eastAsia="Calibri"/>
          <w:color w:val="000000"/>
          <w:sz w:val="22"/>
          <w:szCs w:val="22"/>
          <w:lang w:eastAsia="en-US"/>
        </w:rPr>
        <w:t>o prazo de validade;</w:t>
      </w:r>
    </w:p>
    <w:p w14:paraId="2F24DEA1">
      <w:pPr>
        <w:numPr>
          <w:ilvl w:val="0"/>
          <w:numId w:val="14"/>
        </w:numPr>
        <w:suppressAutoHyphens/>
        <w:ind w:left="851" w:firstLine="0"/>
        <w:contextualSpacing/>
        <w:jc w:val="both"/>
        <w:rPr>
          <w:rFonts w:eastAsia="Calibri"/>
          <w:color w:val="000000"/>
          <w:sz w:val="22"/>
          <w:szCs w:val="22"/>
          <w:lang w:eastAsia="en-US"/>
        </w:rPr>
      </w:pPr>
      <w:r>
        <w:rPr>
          <w:rFonts w:eastAsia="Calibri"/>
          <w:color w:val="000000"/>
          <w:sz w:val="22"/>
          <w:szCs w:val="22"/>
          <w:lang w:eastAsia="en-US"/>
        </w:rPr>
        <w:t xml:space="preserve">a data da emissão; </w:t>
      </w:r>
    </w:p>
    <w:p w14:paraId="0AF94D69">
      <w:pPr>
        <w:numPr>
          <w:ilvl w:val="0"/>
          <w:numId w:val="14"/>
        </w:numPr>
        <w:suppressAutoHyphens/>
        <w:ind w:left="851" w:firstLine="0"/>
        <w:contextualSpacing/>
        <w:jc w:val="both"/>
        <w:rPr>
          <w:rFonts w:eastAsia="Calibri"/>
          <w:color w:val="000000"/>
          <w:sz w:val="22"/>
          <w:szCs w:val="22"/>
          <w:lang w:eastAsia="en-US"/>
        </w:rPr>
      </w:pPr>
      <w:r>
        <w:rPr>
          <w:rFonts w:eastAsia="Calibri"/>
          <w:color w:val="000000"/>
          <w:sz w:val="22"/>
          <w:szCs w:val="22"/>
          <w:lang w:eastAsia="en-US"/>
        </w:rPr>
        <w:t xml:space="preserve">os dados do contrato e do órgão contratante; </w:t>
      </w:r>
    </w:p>
    <w:p w14:paraId="3C838964">
      <w:pPr>
        <w:numPr>
          <w:ilvl w:val="0"/>
          <w:numId w:val="14"/>
        </w:numPr>
        <w:suppressAutoHyphens/>
        <w:ind w:left="851" w:firstLine="0"/>
        <w:contextualSpacing/>
        <w:jc w:val="both"/>
        <w:rPr>
          <w:rFonts w:eastAsia="Calibri"/>
          <w:color w:val="000000"/>
          <w:sz w:val="22"/>
          <w:szCs w:val="22"/>
          <w:lang w:eastAsia="en-US"/>
        </w:rPr>
      </w:pPr>
      <w:r>
        <w:rPr>
          <w:rFonts w:eastAsia="Calibri"/>
          <w:color w:val="000000"/>
          <w:sz w:val="22"/>
          <w:szCs w:val="22"/>
          <w:lang w:eastAsia="en-US"/>
        </w:rPr>
        <w:t xml:space="preserve">o período respectivo de execução do contrato; </w:t>
      </w:r>
    </w:p>
    <w:p w14:paraId="0E182AA4">
      <w:pPr>
        <w:numPr>
          <w:ilvl w:val="0"/>
          <w:numId w:val="14"/>
        </w:numPr>
        <w:suppressAutoHyphens/>
        <w:ind w:left="851" w:firstLine="0"/>
        <w:contextualSpacing/>
        <w:jc w:val="both"/>
        <w:rPr>
          <w:rFonts w:eastAsia="Calibri"/>
          <w:color w:val="000000"/>
          <w:sz w:val="22"/>
          <w:szCs w:val="22"/>
          <w:lang w:eastAsia="en-US"/>
        </w:rPr>
      </w:pPr>
      <w:r>
        <w:rPr>
          <w:rFonts w:eastAsia="Calibri"/>
          <w:color w:val="000000"/>
          <w:sz w:val="22"/>
          <w:szCs w:val="22"/>
          <w:lang w:eastAsia="en-US"/>
        </w:rPr>
        <w:t xml:space="preserve">o valor a pagar; e </w:t>
      </w:r>
    </w:p>
    <w:p w14:paraId="29CAC43E">
      <w:pPr>
        <w:numPr>
          <w:ilvl w:val="0"/>
          <w:numId w:val="14"/>
        </w:numPr>
        <w:suppressAutoHyphens/>
        <w:ind w:left="851" w:firstLine="0"/>
        <w:contextualSpacing/>
        <w:jc w:val="both"/>
        <w:rPr>
          <w:rFonts w:eastAsia="Calibri"/>
          <w:color w:val="000000"/>
          <w:sz w:val="22"/>
          <w:szCs w:val="22"/>
          <w:lang w:eastAsia="en-US"/>
        </w:rPr>
      </w:pPr>
      <w:r>
        <w:rPr>
          <w:rFonts w:eastAsia="Calibri"/>
          <w:color w:val="000000"/>
          <w:sz w:val="22"/>
          <w:szCs w:val="22"/>
          <w:lang w:eastAsia="en-US"/>
        </w:rPr>
        <w:t>eventual destaque do valor de retenções tributárias cabíveis.</w:t>
      </w:r>
    </w:p>
    <w:p w14:paraId="3ED2B87B">
      <w:pPr>
        <w:suppressAutoHyphens/>
        <w:spacing w:line="360" w:lineRule="auto"/>
        <w:ind w:left="851"/>
        <w:contextualSpacing/>
        <w:jc w:val="both"/>
        <w:rPr>
          <w:rFonts w:eastAsia="Calibri"/>
          <w:color w:val="000000"/>
          <w:sz w:val="22"/>
          <w:szCs w:val="22"/>
          <w:lang w:eastAsia="en-US"/>
        </w:rPr>
      </w:pPr>
    </w:p>
    <w:p w14:paraId="749338F3">
      <w:pPr>
        <w:numPr>
          <w:ilvl w:val="1"/>
          <w:numId w:val="13"/>
        </w:numPr>
        <w:ind w:left="7" w:hanging="7"/>
        <w:jc w:val="both"/>
        <w:rPr>
          <w:sz w:val="22"/>
          <w:szCs w:val="22"/>
          <w:lang w:eastAsia="en-US"/>
        </w:rPr>
      </w:pPr>
      <w:r>
        <w:rPr>
          <w:sz w:val="22"/>
          <w:szCs w:val="22"/>
          <w:lang w:eastAsia="en-US"/>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0FDED0B4">
      <w:pPr>
        <w:numPr>
          <w:ilvl w:val="0"/>
          <w:numId w:val="0"/>
        </w:numPr>
        <w:ind w:leftChars="0"/>
        <w:jc w:val="both"/>
        <w:rPr>
          <w:sz w:val="22"/>
          <w:szCs w:val="22"/>
          <w:lang w:eastAsia="en-US"/>
        </w:rPr>
      </w:pPr>
    </w:p>
    <w:p w14:paraId="0B6B808E">
      <w:pPr>
        <w:numPr>
          <w:ilvl w:val="0"/>
          <w:numId w:val="0"/>
        </w:numPr>
        <w:ind w:leftChars="0"/>
        <w:jc w:val="both"/>
        <w:rPr>
          <w:sz w:val="22"/>
          <w:szCs w:val="22"/>
          <w:lang w:eastAsia="en-US"/>
        </w:rPr>
      </w:pPr>
    </w:p>
    <w:p w14:paraId="2091FC04">
      <w:pPr>
        <w:pStyle w:val="21"/>
        <w:numPr>
          <w:ilvl w:val="0"/>
          <w:numId w:val="0"/>
        </w:numPr>
        <w:spacing w:before="0" w:after="0" w:line="240" w:lineRule="auto"/>
        <w:rPr>
          <w:rFonts w:ascii="Times New Roman" w:hAnsi="Times New Roman" w:cs="Times New Roman"/>
          <w:b/>
          <w:bCs/>
          <w:sz w:val="22"/>
          <w:szCs w:val="22"/>
          <w:lang w:eastAsia="en-US"/>
        </w:rPr>
      </w:pPr>
      <w:r>
        <w:rPr>
          <w:rFonts w:ascii="Times New Roman" w:hAnsi="Times New Roman" w:cs="Times New Roman"/>
          <w:b/>
          <w:bCs/>
          <w:sz w:val="22"/>
          <w:szCs w:val="22"/>
          <w:lang w:eastAsia="en-US"/>
        </w:rPr>
        <w:tab/>
      </w:r>
      <w:r>
        <w:rPr>
          <w:rFonts w:ascii="Times New Roman" w:hAnsi="Times New Roman" w:cs="Times New Roman"/>
          <w:b/>
          <w:bCs/>
          <w:sz w:val="22"/>
          <w:szCs w:val="22"/>
          <w:lang w:eastAsia="en-US"/>
        </w:rPr>
        <w:t>Prazo de Pagamento</w:t>
      </w:r>
    </w:p>
    <w:p w14:paraId="43A9132B">
      <w:pPr>
        <w:pStyle w:val="21"/>
        <w:numPr>
          <w:ilvl w:val="0"/>
          <w:numId w:val="0"/>
        </w:numPr>
        <w:spacing w:before="0" w:after="0" w:line="240" w:lineRule="auto"/>
        <w:rPr>
          <w:rFonts w:ascii="Times New Roman" w:hAnsi="Times New Roman" w:cs="Times New Roman"/>
          <w:b/>
          <w:bCs/>
          <w:sz w:val="22"/>
          <w:szCs w:val="22"/>
          <w:lang w:eastAsia="en-US"/>
        </w:rPr>
      </w:pPr>
    </w:p>
    <w:p w14:paraId="02C20A67">
      <w:pPr>
        <w:numPr>
          <w:ilvl w:val="1"/>
          <w:numId w:val="13"/>
        </w:numPr>
        <w:ind w:left="7" w:hanging="7"/>
        <w:jc w:val="both"/>
        <w:rPr>
          <w:sz w:val="22"/>
          <w:szCs w:val="22"/>
          <w:lang w:eastAsia="en-US"/>
        </w:rPr>
      </w:pPr>
      <w:r>
        <w:rPr>
          <w:sz w:val="22"/>
          <w:szCs w:val="22"/>
          <w:lang w:eastAsia="en-US"/>
        </w:rPr>
        <w:t>O pagamento será efetuado no prazo de até 30 (trinta) dias úteis contados da finalização da liquidação da despesa, conforme seção anterior.</w:t>
      </w:r>
    </w:p>
    <w:p w14:paraId="0585B89F">
      <w:pPr>
        <w:tabs>
          <w:tab w:val="left" w:pos="425"/>
        </w:tabs>
        <w:jc w:val="both"/>
        <w:rPr>
          <w:sz w:val="22"/>
          <w:szCs w:val="22"/>
          <w:lang w:eastAsia="en-US"/>
        </w:rPr>
      </w:pPr>
    </w:p>
    <w:p w14:paraId="3A546773">
      <w:pPr>
        <w:pStyle w:val="21"/>
        <w:numPr>
          <w:ilvl w:val="0"/>
          <w:numId w:val="0"/>
        </w:numPr>
        <w:spacing w:before="0" w:after="0" w:line="240" w:lineRule="auto"/>
        <w:ind w:firstLine="708"/>
        <w:rPr>
          <w:rFonts w:ascii="Times New Roman" w:hAnsi="Times New Roman" w:cs="Times New Roman"/>
          <w:sz w:val="22"/>
          <w:szCs w:val="22"/>
          <w:lang w:eastAsia="en-US"/>
        </w:rPr>
      </w:pPr>
    </w:p>
    <w:p w14:paraId="47359CD1">
      <w:pPr>
        <w:pStyle w:val="21"/>
        <w:numPr>
          <w:ilvl w:val="0"/>
          <w:numId w:val="0"/>
        </w:numPr>
        <w:spacing w:before="0" w:after="0" w:line="240" w:lineRule="auto"/>
        <w:rPr>
          <w:rFonts w:ascii="Times New Roman" w:hAnsi="Times New Roman" w:cs="Times New Roman"/>
          <w:b/>
          <w:bCs/>
          <w:sz w:val="22"/>
          <w:szCs w:val="22"/>
          <w:lang w:eastAsia="en-US"/>
        </w:rPr>
      </w:pPr>
      <w:r>
        <w:rPr>
          <w:rFonts w:ascii="Times New Roman" w:hAnsi="Times New Roman" w:cs="Times New Roman"/>
          <w:b/>
          <w:bCs/>
          <w:sz w:val="22"/>
          <w:szCs w:val="22"/>
          <w:lang w:eastAsia="en-US"/>
        </w:rPr>
        <w:tab/>
      </w:r>
      <w:r>
        <w:rPr>
          <w:rFonts w:ascii="Times New Roman" w:hAnsi="Times New Roman" w:cs="Times New Roman"/>
          <w:b/>
          <w:bCs/>
          <w:sz w:val="22"/>
          <w:szCs w:val="22"/>
          <w:lang w:eastAsia="en-US"/>
        </w:rPr>
        <w:t>Forma de Pagamento</w:t>
      </w:r>
    </w:p>
    <w:p w14:paraId="54B82B82">
      <w:pPr>
        <w:pStyle w:val="21"/>
        <w:numPr>
          <w:ilvl w:val="0"/>
          <w:numId w:val="0"/>
        </w:numPr>
        <w:spacing w:before="0" w:after="0" w:line="240" w:lineRule="auto"/>
        <w:rPr>
          <w:rFonts w:ascii="Times New Roman" w:hAnsi="Times New Roman" w:cs="Times New Roman"/>
          <w:b/>
          <w:bCs/>
          <w:sz w:val="22"/>
          <w:szCs w:val="22"/>
          <w:lang w:eastAsia="en-US"/>
        </w:rPr>
      </w:pPr>
    </w:p>
    <w:p w14:paraId="485BCDF4">
      <w:pPr>
        <w:numPr>
          <w:ilvl w:val="1"/>
          <w:numId w:val="13"/>
        </w:numPr>
        <w:ind w:left="7" w:hanging="7"/>
        <w:jc w:val="both"/>
        <w:rPr>
          <w:sz w:val="22"/>
          <w:szCs w:val="22"/>
          <w:lang w:eastAsia="en-US"/>
        </w:rPr>
      </w:pPr>
      <w:r>
        <w:rPr>
          <w:sz w:val="22"/>
          <w:szCs w:val="22"/>
          <w:lang w:eastAsia="en-US"/>
        </w:rPr>
        <w:t>O pagamento será realizado por meio de ordem bancária, para crédito em banco, agência e conta corrente indicados pelo contratado.</w:t>
      </w:r>
    </w:p>
    <w:p w14:paraId="353A4D56">
      <w:pPr>
        <w:pStyle w:val="21"/>
        <w:numPr>
          <w:ilvl w:val="0"/>
          <w:numId w:val="0"/>
        </w:numPr>
        <w:spacing w:before="0" w:after="0" w:line="240" w:lineRule="auto"/>
        <w:ind w:firstLine="708"/>
        <w:rPr>
          <w:rFonts w:ascii="Times New Roman" w:hAnsi="Times New Roman" w:cs="Times New Roman"/>
          <w:sz w:val="22"/>
          <w:szCs w:val="22"/>
          <w:lang w:eastAsia="en-US"/>
        </w:rPr>
      </w:pPr>
    </w:p>
    <w:p w14:paraId="2FF16CC7">
      <w:pPr>
        <w:numPr>
          <w:ilvl w:val="1"/>
          <w:numId w:val="13"/>
        </w:numPr>
        <w:ind w:left="7" w:hanging="7"/>
        <w:jc w:val="both"/>
        <w:rPr>
          <w:sz w:val="22"/>
          <w:szCs w:val="22"/>
          <w:lang w:eastAsia="en-US"/>
        </w:rPr>
      </w:pPr>
      <w:r>
        <w:rPr>
          <w:sz w:val="22"/>
          <w:szCs w:val="22"/>
          <w:lang w:eastAsia="en-US"/>
        </w:rPr>
        <w:t>Será considerada data do pagamento o dia em que constar como emitida a ordem bancária para pagamento.</w:t>
      </w:r>
    </w:p>
    <w:p w14:paraId="7BCBE26F">
      <w:pPr>
        <w:pStyle w:val="21"/>
        <w:numPr>
          <w:ilvl w:val="0"/>
          <w:numId w:val="0"/>
        </w:numPr>
        <w:spacing w:before="0" w:after="0" w:line="240" w:lineRule="auto"/>
        <w:ind w:firstLine="480"/>
        <w:rPr>
          <w:rFonts w:ascii="Times New Roman" w:hAnsi="Times New Roman" w:cs="Times New Roman"/>
          <w:sz w:val="22"/>
          <w:szCs w:val="22"/>
          <w:lang w:eastAsia="en-US"/>
        </w:rPr>
      </w:pPr>
    </w:p>
    <w:p w14:paraId="04349C15">
      <w:pPr>
        <w:numPr>
          <w:ilvl w:val="1"/>
          <w:numId w:val="13"/>
        </w:numPr>
        <w:ind w:left="7" w:hanging="7"/>
        <w:jc w:val="both"/>
        <w:rPr>
          <w:sz w:val="22"/>
          <w:szCs w:val="22"/>
          <w:lang w:eastAsia="en-US"/>
        </w:rPr>
      </w:pPr>
      <w:r>
        <w:rPr>
          <w:sz w:val="22"/>
          <w:szCs w:val="22"/>
          <w:lang w:eastAsia="en-US"/>
        </w:rPr>
        <w:t>Quando do pagamento, será efetuada a retenção tributária prevista na legislação aplicável.</w:t>
      </w:r>
    </w:p>
    <w:p w14:paraId="611D82E0">
      <w:pPr>
        <w:pStyle w:val="21"/>
        <w:numPr>
          <w:ilvl w:val="0"/>
          <w:numId w:val="0"/>
        </w:numPr>
        <w:spacing w:before="0" w:after="0" w:line="240" w:lineRule="auto"/>
        <w:ind w:firstLine="480"/>
        <w:rPr>
          <w:rFonts w:ascii="Times New Roman" w:hAnsi="Times New Roman" w:cs="Times New Roman"/>
          <w:sz w:val="22"/>
          <w:szCs w:val="22"/>
          <w:lang w:eastAsia="en-US"/>
        </w:rPr>
      </w:pPr>
    </w:p>
    <w:p w14:paraId="5A1916E5">
      <w:pPr>
        <w:numPr>
          <w:ilvl w:val="1"/>
          <w:numId w:val="13"/>
        </w:numPr>
        <w:ind w:left="7" w:hanging="7"/>
        <w:jc w:val="both"/>
        <w:rPr>
          <w:sz w:val="22"/>
          <w:szCs w:val="22"/>
          <w:lang w:eastAsia="en-US"/>
        </w:rPr>
      </w:pPr>
      <w:r>
        <w:rPr>
          <w:sz w:val="22"/>
          <w:szCs w:val="22"/>
          <w:lang w:eastAsia="en-US"/>
        </w:rPr>
        <w:t xml:space="preserve">O contratado regularmente optante pelo Simples Nacional, nos termos da </w:t>
      </w:r>
      <w:r>
        <w:fldChar w:fldCharType="begin"/>
      </w:r>
      <w:r>
        <w:instrText xml:space="preserve"> HYPERLINK "https://www.planalto.gov.br/ccivil_03/leis/lcp/lcp123.htm" </w:instrText>
      </w:r>
      <w:r>
        <w:fldChar w:fldCharType="separate"/>
      </w:r>
      <w:r>
        <w:rPr>
          <w:sz w:val="22"/>
          <w:szCs w:val="22"/>
          <w:lang w:eastAsia="en-US"/>
        </w:rPr>
        <w:t>Lei Complementar nº 123, de 2006</w:t>
      </w:r>
      <w:r>
        <w:rPr>
          <w:sz w:val="22"/>
          <w:szCs w:val="22"/>
          <w:lang w:eastAsia="en-US"/>
        </w:rPr>
        <w:fldChar w:fldCharType="end"/>
      </w:r>
      <w:r>
        <w:rPr>
          <w:sz w:val="22"/>
          <w:szCs w:val="22"/>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62D67FD">
      <w:pPr>
        <w:pStyle w:val="21"/>
        <w:numPr>
          <w:ilvl w:val="0"/>
          <w:numId w:val="0"/>
        </w:numPr>
        <w:spacing w:before="0" w:after="0" w:line="240" w:lineRule="auto"/>
        <w:ind w:firstLine="480"/>
        <w:rPr>
          <w:rFonts w:ascii="Times New Roman" w:hAnsi="Times New Roman" w:cs="Times New Roman"/>
          <w:sz w:val="22"/>
          <w:szCs w:val="22"/>
          <w:lang w:eastAsia="en-US"/>
        </w:rPr>
      </w:pPr>
    </w:p>
    <w:p w14:paraId="0474570E">
      <w:pPr>
        <w:pStyle w:val="34"/>
        <w:tabs>
          <w:tab w:val="clear" w:pos="708"/>
        </w:tabs>
        <w:spacing w:after="0" w:line="240" w:lineRule="auto"/>
        <w:jc w:val="both"/>
        <w:rPr>
          <w:rFonts w:cs="Times New Roman"/>
          <w:color w:val="000000" w:themeColor="text1"/>
          <w:sz w:val="22"/>
          <w:szCs w:val="22"/>
          <w14:textFill>
            <w14:solidFill>
              <w14:schemeClr w14:val="tx1"/>
            </w14:solidFill>
          </w14:textFill>
        </w:rPr>
      </w:pPr>
    </w:p>
    <w:p w14:paraId="7E3C6922">
      <w:pPr>
        <w:rPr>
          <w:sz w:val="22"/>
          <w:szCs w:val="22"/>
        </w:rPr>
      </w:pPr>
      <w:r>
        <w:rPr>
          <w:sz w:val="22"/>
          <w:szCs w:val="22"/>
        </w:rPr>
        <w:t xml:space="preserve">Cachoeiras de Macacu/RJ, </w:t>
      </w:r>
      <w:r>
        <w:rPr>
          <w:rFonts w:hint="default"/>
          <w:sz w:val="22"/>
          <w:szCs w:val="22"/>
          <w:lang w:val="pt-BR"/>
        </w:rPr>
        <w:t>07 de Outubro</w:t>
      </w:r>
      <w:r>
        <w:rPr>
          <w:sz w:val="22"/>
          <w:szCs w:val="22"/>
        </w:rPr>
        <w:t xml:space="preserve"> de 202</w:t>
      </w:r>
      <w:r>
        <w:rPr>
          <w:rFonts w:hint="default"/>
          <w:sz w:val="22"/>
          <w:szCs w:val="22"/>
          <w:lang w:val="pt-BR"/>
        </w:rPr>
        <w:t>5</w:t>
      </w:r>
      <w:r>
        <w:rPr>
          <w:sz w:val="22"/>
          <w:szCs w:val="22"/>
        </w:rPr>
        <w:t>.</w:t>
      </w:r>
    </w:p>
    <w:p w14:paraId="6E9A2E44">
      <w:pPr>
        <w:jc w:val="center"/>
        <w:rPr>
          <w:sz w:val="22"/>
          <w:szCs w:val="22"/>
        </w:rPr>
      </w:pPr>
    </w:p>
    <w:p w14:paraId="2BEDDCB7">
      <w:pPr>
        <w:jc w:val="center"/>
        <w:rPr>
          <w:sz w:val="22"/>
          <w:szCs w:val="22"/>
        </w:rPr>
      </w:pPr>
    </w:p>
    <w:p w14:paraId="5F39359D">
      <w:pPr>
        <w:jc w:val="center"/>
        <w:rPr>
          <w:sz w:val="22"/>
          <w:szCs w:val="22"/>
        </w:rPr>
      </w:pPr>
    </w:p>
    <w:p w14:paraId="30CABFC6">
      <w:pPr>
        <w:jc w:val="center"/>
        <w:rPr>
          <w:b/>
          <w:bCs/>
          <w:sz w:val="22"/>
          <w:szCs w:val="22"/>
        </w:rPr>
      </w:pPr>
      <w:r>
        <w:rPr>
          <w:b/>
          <w:bCs/>
          <w:sz w:val="22"/>
          <w:szCs w:val="22"/>
        </w:rPr>
        <w:t>________________________________________</w:t>
      </w:r>
    </w:p>
    <w:p w14:paraId="444F1020">
      <w:pPr>
        <w:jc w:val="center"/>
        <w:rPr>
          <w:b/>
          <w:bCs/>
          <w:sz w:val="22"/>
          <w:szCs w:val="22"/>
        </w:rPr>
      </w:pPr>
      <w:r>
        <w:rPr>
          <w:rFonts w:hint="default"/>
          <w:b/>
          <w:bCs/>
          <w:sz w:val="22"/>
          <w:szCs w:val="22"/>
          <w:lang w:val="pt-BR"/>
        </w:rPr>
        <w:t>TAINÁ DA CONCEIÇÃO BARROZO</w:t>
      </w:r>
    </w:p>
    <w:p w14:paraId="282A65E1">
      <w:pPr>
        <w:jc w:val="center"/>
        <w:rPr>
          <w:rFonts w:hint="default"/>
          <w:b/>
          <w:bCs/>
          <w:sz w:val="22"/>
          <w:szCs w:val="22"/>
          <w:lang w:val="pt-BR"/>
        </w:rPr>
      </w:pPr>
      <w:r>
        <w:rPr>
          <w:b/>
          <w:bCs/>
          <w:sz w:val="22"/>
          <w:szCs w:val="22"/>
        </w:rPr>
        <w:t>Matrícula</w:t>
      </w:r>
      <w:r>
        <w:rPr>
          <w:rFonts w:hint="default"/>
          <w:b/>
          <w:bCs/>
          <w:sz w:val="22"/>
          <w:szCs w:val="22"/>
          <w:lang w:val="pt-BR"/>
        </w:rPr>
        <w:t>: 72874</w:t>
      </w:r>
    </w:p>
    <w:p w14:paraId="7D9342CC">
      <w:pPr>
        <w:jc w:val="center"/>
        <w:rPr>
          <w:b/>
          <w:bCs/>
          <w:sz w:val="22"/>
          <w:szCs w:val="22"/>
        </w:rPr>
      </w:pPr>
      <w:r>
        <w:rPr>
          <w:b/>
          <w:bCs/>
          <w:sz w:val="22"/>
          <w:szCs w:val="22"/>
        </w:rPr>
        <w:t xml:space="preserve">Servidor responsável pela elaboração do Termo de Referência </w:t>
      </w:r>
    </w:p>
    <w:p w14:paraId="1576990D">
      <w:pPr>
        <w:jc w:val="center"/>
        <w:rPr>
          <w:sz w:val="22"/>
          <w:szCs w:val="22"/>
        </w:rPr>
      </w:pPr>
    </w:p>
    <w:p w14:paraId="01DA54D4">
      <w:pPr>
        <w:jc w:val="center"/>
        <w:rPr>
          <w:b/>
          <w:bCs/>
          <w:sz w:val="22"/>
          <w:szCs w:val="22"/>
        </w:rPr>
      </w:pPr>
    </w:p>
    <w:p w14:paraId="2FF4F8F9">
      <w:pPr>
        <w:jc w:val="center"/>
        <w:rPr>
          <w:b/>
          <w:bCs/>
          <w:sz w:val="22"/>
          <w:szCs w:val="22"/>
        </w:rPr>
      </w:pPr>
      <w:r>
        <w:rPr>
          <w:b/>
          <w:bCs/>
          <w:sz w:val="22"/>
          <w:szCs w:val="22"/>
        </w:rPr>
        <w:t>________________________________________</w:t>
      </w:r>
    </w:p>
    <w:p w14:paraId="59118A73">
      <w:pPr>
        <w:jc w:val="center"/>
        <w:rPr>
          <w:rFonts w:hint="default"/>
          <w:b/>
          <w:bCs/>
          <w:sz w:val="22"/>
          <w:szCs w:val="22"/>
          <w:lang w:val="pt-BR"/>
        </w:rPr>
      </w:pPr>
      <w:r>
        <w:rPr>
          <w:rFonts w:hint="default"/>
          <w:b/>
          <w:bCs/>
          <w:sz w:val="22"/>
          <w:szCs w:val="22"/>
          <w:lang w:val="pt-BR"/>
        </w:rPr>
        <w:t>LUIZ FERNANDO MUZZI DE MIRANDA</w:t>
      </w:r>
    </w:p>
    <w:p w14:paraId="74AC77F1">
      <w:pPr>
        <w:jc w:val="center"/>
        <w:rPr>
          <w:b/>
          <w:bCs/>
          <w:sz w:val="22"/>
          <w:szCs w:val="22"/>
        </w:rPr>
      </w:pPr>
      <w:r>
        <w:rPr>
          <w:b/>
          <w:bCs/>
          <w:sz w:val="22"/>
          <w:szCs w:val="22"/>
        </w:rPr>
        <w:t>Assinatura do Secretário</w:t>
      </w:r>
    </w:p>
    <w:p w14:paraId="178258D5">
      <w:pPr>
        <w:jc w:val="center"/>
        <w:rPr>
          <w:rFonts w:hint="default"/>
          <w:b/>
          <w:bCs/>
          <w:sz w:val="22"/>
          <w:szCs w:val="22"/>
          <w:lang w:val="pt-BR"/>
        </w:rPr>
      </w:pPr>
      <w:r>
        <w:rPr>
          <w:b/>
          <w:bCs/>
          <w:sz w:val="22"/>
          <w:szCs w:val="22"/>
        </w:rPr>
        <w:t>Matrícula:</w:t>
      </w:r>
      <w:r>
        <w:rPr>
          <w:rFonts w:hint="default"/>
          <w:b/>
          <w:bCs/>
          <w:sz w:val="22"/>
          <w:szCs w:val="22"/>
          <w:lang w:val="pt-BR"/>
        </w:rPr>
        <w:t xml:space="preserve"> 72807</w:t>
      </w:r>
    </w:p>
    <w:p w14:paraId="7E9695A7">
      <w:pPr>
        <w:rPr>
          <w:b/>
          <w:bCs/>
          <w:sz w:val="22"/>
          <w:szCs w:val="22"/>
        </w:rPr>
      </w:pPr>
    </w:p>
    <w:p w14:paraId="71F8234C"/>
    <w:sectPr>
      <w:headerReference r:id="rId5" w:type="default"/>
      <w:pgSz w:w="11906" w:h="16838"/>
      <w:pgMar w:top="1417" w:right="1701" w:bottom="1417"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等线 Light">
    <w:altName w:val="AMGD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等线">
    <w:altName w:val="Microsoft YaHei"/>
    <w:panose1 w:val="00000000000000000000"/>
    <w:charset w:val="00"/>
    <w:family w:val="auto"/>
    <w:pitch w:val="default"/>
    <w:sig w:usb0="00000000" w:usb1="00000000" w:usb2="00000000" w:usb3="00000000" w:csb0="00000000" w:csb1="00000000"/>
  </w:font>
  <w:font w:name="Mangal">
    <w:altName w:val="AMGDT"/>
    <w:panose1 w:val="00000400000000000000"/>
    <w:charset w:val="00"/>
    <w:family w:val="roman"/>
    <w:pitch w:val="default"/>
    <w:sig w:usb0="00000000" w:usb1="00000000" w:usb2="00000000" w:usb3="00000000" w:csb0="00000001" w:csb1="00000000"/>
  </w:font>
  <w:font w:name="Wingdings">
    <w:panose1 w:val="05000000000000000000"/>
    <w:charset w:val="02"/>
    <w:family w:val="auto"/>
    <w:pitch w:val="default"/>
    <w:sig w:usb0="00000000" w:usb1="00000000" w:usb2="00000000" w:usb3="00000000" w:csb0="80000000" w:csb1="00000000"/>
  </w:font>
  <w:font w:name="AMGDT">
    <w:panose1 w:val="02000400000000000000"/>
    <w:charset w:val="00"/>
    <w:family w:val="auto"/>
    <w:pitch w:val="default"/>
    <w:sig w:usb0="80000003" w:usb1="1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849BAD">
    <w:pPr>
      <w:pStyle w:val="11"/>
    </w:pPr>
    <w:r>
      <w:rPr>
        <w:color w:val="000000"/>
      </w:rPr>
      <w:pict>
        <v:shape id="_x0000_s1025" o:spid="_x0000_s1025" o:spt="75" type="#_x0000_t75" style="position:absolute;left:0pt;margin-left:197.15pt;margin-top:-16.65pt;height:51.75pt;width:49.3pt;mso-wrap-distance-bottom:0pt;mso-wrap-distance-left:9pt;mso-wrap-distance-right:9pt;mso-wrap-distance-top:0pt;z-index:251659264;mso-width-relative:page;mso-height-relative:page;" o:ole="t" fillcolor="#FFFFFF" filled="f" o:preferrelative="t" stroked="f" coordsize="21600,21600" o:allowincell="f">
          <v:path/>
          <v:fill on="f" focussize="0,0"/>
          <v:stroke on="f" joinstyle="miter"/>
          <v:imagedata r:id="rId2" o:title=""/>
          <o:lock v:ext="edit" aspectratio="t"/>
          <w10:wrap type="square"/>
        </v:shape>
        <o:OLEObject Type="Embed" ProgID="Word.Picture.8" ShapeID="_x0000_s1025" DrawAspect="Content" ObjectID="_1468075725" r:id="rId1">
          <o:LockedField>false</o:LockedField>
        </o:OLEObject>
      </w:pict>
    </w:r>
  </w:p>
  <w:p w14:paraId="455511B7">
    <w:pPr>
      <w:pStyle w:val="2"/>
      <w:rPr>
        <w:color w:val="000000"/>
        <w:sz w:val="24"/>
      </w:rPr>
    </w:pPr>
  </w:p>
  <w:p w14:paraId="6B957976">
    <w:pPr>
      <w:pStyle w:val="2"/>
      <w:rPr>
        <w:color w:val="000000"/>
        <w:sz w:val="24"/>
      </w:rPr>
    </w:pPr>
  </w:p>
  <w:p w14:paraId="606197DB">
    <w:pPr>
      <w:pStyle w:val="2"/>
      <w:jc w:val="center"/>
      <w:rPr>
        <w:rFonts w:ascii="Times New Roman" w:hAnsi="Times New Roman"/>
        <w:color w:val="000000"/>
        <w:sz w:val="20"/>
        <w:szCs w:val="20"/>
      </w:rPr>
    </w:pPr>
    <w:r>
      <w:rPr>
        <w:rFonts w:ascii="Times New Roman" w:hAnsi="Times New Roman"/>
        <w:color w:val="000000"/>
        <w:sz w:val="20"/>
        <w:szCs w:val="20"/>
      </w:rPr>
      <w:t>ESTADO DO RIO DE JANEIRO</w:t>
    </w:r>
  </w:p>
  <w:p w14:paraId="1B0B8D4B">
    <w:pPr>
      <w:pStyle w:val="11"/>
      <w:jc w:val="center"/>
      <w:rPr>
        <w:b/>
        <w:color w:val="000000"/>
        <w:sz w:val="20"/>
        <w:szCs w:val="20"/>
      </w:rPr>
    </w:pPr>
    <w:r>
      <w:rPr>
        <w:b/>
        <w:color w:val="000000"/>
        <w:sz w:val="20"/>
        <w:szCs w:val="20"/>
      </w:rPr>
      <w:t>PREFEITURA MUNICIPAL DE CACHOEIRAS DE MACACU</w:t>
    </w:r>
  </w:p>
  <w:p w14:paraId="25383CD5">
    <w:pPr>
      <w:pStyle w:val="11"/>
      <w:jc w:val="center"/>
      <w:rPr>
        <w:rFonts w:hint="default"/>
        <w:lang w:val="pt-BR"/>
      </w:rPr>
    </w:pPr>
    <w:r>
      <w:rPr>
        <w:b/>
        <w:sz w:val="20"/>
        <w:szCs w:val="20"/>
      </w:rPr>
      <w:t xml:space="preserve">SECRETARIA MUNICIPAL DE  </w:t>
    </w:r>
    <w:r>
      <w:rPr>
        <w:rFonts w:hint="default"/>
        <w:b/>
        <w:sz w:val="20"/>
        <w:szCs w:val="20"/>
        <w:lang w:val="pt-BR"/>
      </w:rPr>
      <w:t>OBRAS, SANEAMENTO, URBANISMO E CONSERVAÇÃO</w:t>
    </w:r>
  </w:p>
  <w:p w14:paraId="79826EE6">
    <w:pPr>
      <w:pStyle w:val="1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22C91E"/>
    <w:multiLevelType w:val="singleLevel"/>
    <w:tmpl w:val="9822C91E"/>
    <w:lvl w:ilvl="0" w:tentative="0">
      <w:start w:val="1"/>
      <w:numFmt w:val="decimal"/>
      <w:suff w:val="space"/>
      <w:lvlText w:val="%1."/>
      <w:lvlJc w:val="left"/>
    </w:lvl>
  </w:abstractNum>
  <w:abstractNum w:abstractNumId="1">
    <w:nsid w:val="B6C81FE7"/>
    <w:multiLevelType w:val="multilevel"/>
    <w:tmpl w:val="B6C81FE7"/>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2">
    <w:nsid w:val="C42664E4"/>
    <w:multiLevelType w:val="singleLevel"/>
    <w:tmpl w:val="C42664E4"/>
    <w:lvl w:ilvl="0" w:tentative="0">
      <w:start w:val="1"/>
      <w:numFmt w:val="lowerLetter"/>
      <w:lvlText w:val="%1)"/>
      <w:lvlJc w:val="left"/>
      <w:pPr>
        <w:tabs>
          <w:tab w:val="left" w:pos="425"/>
        </w:tabs>
        <w:ind w:left="425" w:leftChars="0" w:hanging="425" w:firstLineChars="0"/>
      </w:pPr>
      <w:rPr>
        <w:rFonts w:hint="default"/>
      </w:rPr>
    </w:lvl>
  </w:abstractNum>
  <w:abstractNum w:abstractNumId="3">
    <w:nsid w:val="D1CF07A2"/>
    <w:multiLevelType w:val="singleLevel"/>
    <w:tmpl w:val="D1CF07A2"/>
    <w:lvl w:ilvl="0" w:tentative="0">
      <w:start w:val="6"/>
      <w:numFmt w:val="decimal"/>
      <w:suff w:val="space"/>
      <w:lvlText w:val="%1."/>
      <w:lvlJc w:val="left"/>
    </w:lvl>
  </w:abstractNum>
  <w:abstractNum w:abstractNumId="4">
    <w:nsid w:val="DC527AAF"/>
    <w:multiLevelType w:val="multilevel"/>
    <w:tmpl w:val="DC527AAF"/>
    <w:lvl w:ilvl="0" w:tentative="0">
      <w:start w:val="7"/>
      <w:numFmt w:val="decimal"/>
      <w:suff w:val="space"/>
      <w:lvlText w:val="%1."/>
      <w:lvlJc w:val="left"/>
    </w:lvl>
    <w:lvl w:ilvl="1" w:tentative="0">
      <w:start w:val="1"/>
      <w:numFmt w:val="decimal"/>
      <w:suff w:val="space"/>
      <w:lvlText w:val="%1.%2"/>
      <w:lvlJc w:val="left"/>
      <w:pPr>
        <w:ind w:left="720" w:leftChars="0" w:firstLine="0" w:firstLineChars="0"/>
      </w:pPr>
      <w:rPr>
        <w:rFonts w:hint="default"/>
      </w:rPr>
    </w:lvl>
    <w:lvl w:ilvl="2" w:tentative="0">
      <w:start w:val="1"/>
      <w:numFmt w:val="decimal"/>
      <w:suff w:val="space"/>
      <w:lvlText w:val="%1.%2.%3"/>
      <w:lvlJc w:val="left"/>
      <w:pPr>
        <w:ind w:left="720" w:leftChars="0" w:firstLine="0" w:firstLineChars="0"/>
      </w:pPr>
      <w:rPr>
        <w:rFonts w:hint="default"/>
      </w:rPr>
    </w:lvl>
    <w:lvl w:ilvl="3" w:tentative="0">
      <w:start w:val="1"/>
      <w:numFmt w:val="decimal"/>
      <w:suff w:val="space"/>
      <w:lvlText w:val="%1.%2.%3.%4"/>
      <w:lvlJc w:val="left"/>
      <w:pPr>
        <w:ind w:left="720" w:leftChars="0" w:firstLine="0" w:firstLineChars="0"/>
      </w:pPr>
      <w:rPr>
        <w:rFonts w:hint="default"/>
      </w:rPr>
    </w:lvl>
    <w:lvl w:ilvl="4" w:tentative="0">
      <w:start w:val="1"/>
      <w:numFmt w:val="decimal"/>
      <w:suff w:val="space"/>
      <w:lvlText w:val="%1.%2.%3.%4.%5"/>
      <w:lvlJc w:val="left"/>
      <w:pPr>
        <w:ind w:left="720" w:leftChars="0" w:firstLine="0" w:firstLineChars="0"/>
      </w:pPr>
      <w:rPr>
        <w:rFonts w:hint="default"/>
      </w:rPr>
    </w:lvl>
    <w:lvl w:ilvl="5" w:tentative="0">
      <w:start w:val="1"/>
      <w:numFmt w:val="decimal"/>
      <w:suff w:val="space"/>
      <w:lvlText w:val="%1.%2.%3.%4.%5.%6"/>
      <w:lvlJc w:val="left"/>
      <w:pPr>
        <w:ind w:left="720" w:leftChars="0" w:firstLine="0" w:firstLineChars="0"/>
      </w:pPr>
      <w:rPr>
        <w:rFonts w:hint="default"/>
      </w:rPr>
    </w:lvl>
    <w:lvl w:ilvl="6" w:tentative="0">
      <w:start w:val="1"/>
      <w:numFmt w:val="decimal"/>
      <w:suff w:val="space"/>
      <w:lvlText w:val="%1.%2.%3.%4.%5.%6.%7"/>
      <w:lvlJc w:val="left"/>
      <w:pPr>
        <w:ind w:left="720" w:leftChars="0" w:firstLine="0" w:firstLineChars="0"/>
      </w:pPr>
      <w:rPr>
        <w:rFonts w:hint="default"/>
      </w:rPr>
    </w:lvl>
    <w:lvl w:ilvl="7" w:tentative="0">
      <w:start w:val="1"/>
      <w:numFmt w:val="decimal"/>
      <w:suff w:val="space"/>
      <w:lvlText w:val="%1.%2.%3.%4.%5.%6.%7.%8"/>
      <w:lvlJc w:val="left"/>
      <w:pPr>
        <w:ind w:left="720" w:leftChars="0" w:firstLine="0" w:firstLineChars="0"/>
      </w:pPr>
      <w:rPr>
        <w:rFonts w:hint="default"/>
      </w:rPr>
    </w:lvl>
    <w:lvl w:ilvl="8" w:tentative="0">
      <w:start w:val="1"/>
      <w:numFmt w:val="decimal"/>
      <w:suff w:val="space"/>
      <w:lvlText w:val="%1.%2.%3.%4.%5.%6.%7.%8.%9"/>
      <w:lvlJc w:val="left"/>
      <w:pPr>
        <w:ind w:left="720" w:leftChars="0" w:firstLine="0" w:firstLineChars="0"/>
      </w:pPr>
      <w:rPr>
        <w:rFonts w:hint="default"/>
      </w:rPr>
    </w:lvl>
  </w:abstractNum>
  <w:abstractNum w:abstractNumId="5">
    <w:nsid w:val="1D5C100D"/>
    <w:multiLevelType w:val="multilevel"/>
    <w:tmpl w:val="1D5C100D"/>
    <w:lvl w:ilvl="0" w:tentative="0">
      <w:start w:val="1"/>
      <w:numFmt w:val="decimal"/>
      <w:pStyle w:val="20"/>
      <w:lvlText w:val="%1."/>
      <w:lvlJc w:val="left"/>
      <w:pPr>
        <w:ind w:left="360" w:hanging="360"/>
      </w:pPr>
      <w:rPr>
        <w:b/>
      </w:rPr>
    </w:lvl>
    <w:lvl w:ilvl="1" w:tentative="0">
      <w:start w:val="1"/>
      <w:numFmt w:val="decimal"/>
      <w:pStyle w:val="21"/>
      <w:lvlText w:val="%1.%2."/>
      <w:lvlJc w:val="left"/>
      <w:pPr>
        <w:ind w:left="999" w:hanging="432"/>
      </w:pPr>
      <w:rPr>
        <w:b w:val="0"/>
        <w:i w:val="0"/>
        <w:strike w:val="0"/>
        <w:dstrike w:val="0"/>
        <w:color w:val="auto"/>
        <w:sz w:val="20"/>
        <w:szCs w:val="20"/>
        <w:u w:val="none"/>
      </w:rPr>
    </w:lvl>
    <w:lvl w:ilvl="2" w:tentative="0">
      <w:start w:val="1"/>
      <w:numFmt w:val="decimal"/>
      <w:pStyle w:val="23"/>
      <w:lvlText w:val="%1.%2.%3."/>
      <w:lvlJc w:val="left"/>
      <w:pPr>
        <w:ind w:left="3198" w:hanging="504"/>
      </w:pPr>
      <w:rPr>
        <w:rFonts w:hint="default" w:ascii="Arial" w:hAnsi="Arial" w:cs="Arial"/>
        <w:b w:val="0"/>
        <w:i w:val="0"/>
        <w:strike w:val="0"/>
        <w:dstrike w:val="0"/>
        <w:color w:val="auto"/>
        <w:sz w:val="20"/>
        <w:szCs w:val="20"/>
        <w:u w:val="none"/>
      </w:rPr>
    </w:lvl>
    <w:lvl w:ilvl="3" w:tentative="0">
      <w:start w:val="1"/>
      <w:numFmt w:val="decimal"/>
      <w:pStyle w:val="24"/>
      <w:lvlText w:val="%1.%2.%3.%4."/>
      <w:lvlJc w:val="left"/>
      <w:pPr>
        <w:ind w:left="2491" w:hanging="648"/>
      </w:pPr>
    </w:lvl>
    <w:lvl w:ilvl="4" w:tentative="0">
      <w:start w:val="1"/>
      <w:numFmt w:val="decimal"/>
      <w:pStyle w:val="25"/>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6">
    <w:nsid w:val="2A40269A"/>
    <w:multiLevelType w:val="multilevel"/>
    <w:tmpl w:val="2A40269A"/>
    <w:lvl w:ilvl="0" w:tentative="0">
      <w:start w:val="3502"/>
      <w:numFmt w:val="bullet"/>
      <w:lvlText w:val=""/>
      <w:lvlJc w:val="left"/>
      <w:pPr>
        <w:ind w:left="2160" w:hanging="360"/>
      </w:pPr>
      <w:rPr>
        <w:rFonts w:hint="default" w:ascii="Wingdings" w:hAnsi="Wingdings" w:eastAsia="Times New Roman" w:cs="Times New Roman"/>
      </w:rPr>
    </w:lvl>
    <w:lvl w:ilvl="1" w:tentative="0">
      <w:start w:val="1"/>
      <w:numFmt w:val="bullet"/>
      <w:lvlText w:val="o"/>
      <w:lvlJc w:val="left"/>
      <w:pPr>
        <w:ind w:left="2880" w:hanging="360"/>
      </w:pPr>
      <w:rPr>
        <w:rFonts w:hint="default" w:ascii="Courier New" w:hAnsi="Courier New" w:cs="Courier New"/>
      </w:rPr>
    </w:lvl>
    <w:lvl w:ilvl="2" w:tentative="0">
      <w:start w:val="1"/>
      <w:numFmt w:val="bullet"/>
      <w:lvlText w:val=""/>
      <w:lvlJc w:val="left"/>
      <w:pPr>
        <w:ind w:left="3600" w:hanging="360"/>
      </w:pPr>
      <w:rPr>
        <w:rFonts w:hint="default" w:ascii="Wingdings" w:hAnsi="Wingdings"/>
      </w:rPr>
    </w:lvl>
    <w:lvl w:ilvl="3" w:tentative="0">
      <w:start w:val="1"/>
      <w:numFmt w:val="bullet"/>
      <w:lvlText w:val=""/>
      <w:lvlJc w:val="left"/>
      <w:pPr>
        <w:ind w:left="4320" w:hanging="360"/>
      </w:pPr>
      <w:rPr>
        <w:rFonts w:hint="default" w:ascii="Symbol" w:hAnsi="Symbol"/>
      </w:rPr>
    </w:lvl>
    <w:lvl w:ilvl="4" w:tentative="0">
      <w:start w:val="1"/>
      <w:numFmt w:val="bullet"/>
      <w:lvlText w:val="o"/>
      <w:lvlJc w:val="left"/>
      <w:pPr>
        <w:ind w:left="5040" w:hanging="360"/>
      </w:pPr>
      <w:rPr>
        <w:rFonts w:hint="default" w:ascii="Courier New" w:hAnsi="Courier New" w:cs="Courier New"/>
      </w:rPr>
    </w:lvl>
    <w:lvl w:ilvl="5" w:tentative="0">
      <w:start w:val="1"/>
      <w:numFmt w:val="bullet"/>
      <w:lvlText w:val=""/>
      <w:lvlJc w:val="left"/>
      <w:pPr>
        <w:ind w:left="5760" w:hanging="360"/>
      </w:pPr>
      <w:rPr>
        <w:rFonts w:hint="default" w:ascii="Wingdings" w:hAnsi="Wingdings"/>
      </w:rPr>
    </w:lvl>
    <w:lvl w:ilvl="6" w:tentative="0">
      <w:start w:val="1"/>
      <w:numFmt w:val="bullet"/>
      <w:lvlText w:val=""/>
      <w:lvlJc w:val="left"/>
      <w:pPr>
        <w:ind w:left="6480" w:hanging="360"/>
      </w:pPr>
      <w:rPr>
        <w:rFonts w:hint="default" w:ascii="Symbol" w:hAnsi="Symbol"/>
      </w:rPr>
    </w:lvl>
    <w:lvl w:ilvl="7" w:tentative="0">
      <w:start w:val="1"/>
      <w:numFmt w:val="bullet"/>
      <w:lvlText w:val="o"/>
      <w:lvlJc w:val="left"/>
      <w:pPr>
        <w:ind w:left="7200" w:hanging="360"/>
      </w:pPr>
      <w:rPr>
        <w:rFonts w:hint="default" w:ascii="Courier New" w:hAnsi="Courier New" w:cs="Courier New"/>
      </w:rPr>
    </w:lvl>
    <w:lvl w:ilvl="8" w:tentative="0">
      <w:start w:val="1"/>
      <w:numFmt w:val="bullet"/>
      <w:lvlText w:val=""/>
      <w:lvlJc w:val="left"/>
      <w:pPr>
        <w:ind w:left="7920" w:hanging="360"/>
      </w:pPr>
      <w:rPr>
        <w:rFonts w:hint="default" w:ascii="Wingdings" w:hAnsi="Wingdings"/>
      </w:rPr>
    </w:lvl>
  </w:abstractNum>
  <w:abstractNum w:abstractNumId="7">
    <w:nsid w:val="34F37A26"/>
    <w:multiLevelType w:val="multilevel"/>
    <w:tmpl w:val="34F37A2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8">
    <w:nsid w:val="5D7B7A03"/>
    <w:multiLevelType w:val="multilevel"/>
    <w:tmpl w:val="5D7B7A03"/>
    <w:lvl w:ilvl="0" w:tentative="0">
      <w:start w:val="7"/>
      <w:numFmt w:val="decimal"/>
      <w:lvlText w:val="%1"/>
      <w:lvlJc w:val="left"/>
      <w:pPr>
        <w:ind w:left="360" w:hanging="360"/>
      </w:pPr>
      <w:rPr>
        <w:rFonts w:hint="default"/>
      </w:rPr>
    </w:lvl>
    <w:lvl w:ilvl="1" w:tentative="0">
      <w:start w:val="4"/>
      <w:numFmt w:val="decimal"/>
      <w:lvlText w:val="%1.%2"/>
      <w:lvlJc w:val="left"/>
      <w:pPr>
        <w:ind w:left="1068" w:hanging="360"/>
      </w:pPr>
      <w:rPr>
        <w:rFonts w:hint="default"/>
      </w:rPr>
    </w:lvl>
    <w:lvl w:ilvl="2" w:tentative="0">
      <w:start w:val="1"/>
      <w:numFmt w:val="decimal"/>
      <w:lvlText w:val="%1.%2.%3"/>
      <w:lvlJc w:val="left"/>
      <w:pPr>
        <w:ind w:left="2136" w:hanging="720"/>
      </w:pPr>
      <w:rPr>
        <w:rFonts w:hint="default"/>
      </w:rPr>
    </w:lvl>
    <w:lvl w:ilvl="3" w:tentative="0">
      <w:start w:val="1"/>
      <w:numFmt w:val="decimal"/>
      <w:lvlText w:val="%1.%2.%3.%4"/>
      <w:lvlJc w:val="left"/>
      <w:pPr>
        <w:ind w:left="2844" w:hanging="720"/>
      </w:pPr>
      <w:rPr>
        <w:rFonts w:hint="default"/>
      </w:rPr>
    </w:lvl>
    <w:lvl w:ilvl="4" w:tentative="0">
      <w:start w:val="1"/>
      <w:numFmt w:val="decimal"/>
      <w:lvlText w:val="%1.%2.%3.%4.%5"/>
      <w:lvlJc w:val="left"/>
      <w:pPr>
        <w:ind w:left="3912" w:hanging="1080"/>
      </w:pPr>
      <w:rPr>
        <w:rFonts w:hint="default"/>
      </w:rPr>
    </w:lvl>
    <w:lvl w:ilvl="5" w:tentative="0">
      <w:start w:val="1"/>
      <w:numFmt w:val="decimal"/>
      <w:lvlText w:val="%1.%2.%3.%4.%5.%6"/>
      <w:lvlJc w:val="left"/>
      <w:pPr>
        <w:ind w:left="4620" w:hanging="1080"/>
      </w:pPr>
      <w:rPr>
        <w:rFonts w:hint="default"/>
      </w:rPr>
    </w:lvl>
    <w:lvl w:ilvl="6" w:tentative="0">
      <w:start w:val="1"/>
      <w:numFmt w:val="decimal"/>
      <w:lvlText w:val="%1.%2.%3.%4.%5.%6.%7"/>
      <w:lvlJc w:val="left"/>
      <w:pPr>
        <w:ind w:left="5688" w:hanging="1440"/>
      </w:pPr>
      <w:rPr>
        <w:rFonts w:hint="default"/>
      </w:rPr>
    </w:lvl>
    <w:lvl w:ilvl="7" w:tentative="0">
      <w:start w:val="1"/>
      <w:numFmt w:val="decimal"/>
      <w:lvlText w:val="%1.%2.%3.%4.%5.%6.%7.%8"/>
      <w:lvlJc w:val="left"/>
      <w:pPr>
        <w:ind w:left="6396" w:hanging="1440"/>
      </w:pPr>
      <w:rPr>
        <w:rFonts w:hint="default"/>
      </w:rPr>
    </w:lvl>
    <w:lvl w:ilvl="8" w:tentative="0">
      <w:start w:val="1"/>
      <w:numFmt w:val="decimal"/>
      <w:lvlText w:val="%1.%2.%3.%4.%5.%6.%7.%8.%9"/>
      <w:lvlJc w:val="left"/>
      <w:pPr>
        <w:ind w:left="7104" w:hanging="1440"/>
      </w:pPr>
      <w:rPr>
        <w:rFonts w:hint="default"/>
      </w:rPr>
    </w:lvl>
  </w:abstractNum>
  <w:abstractNum w:abstractNumId="9">
    <w:nsid w:val="6B16767E"/>
    <w:multiLevelType w:val="multilevel"/>
    <w:tmpl w:val="6B16767E"/>
    <w:lvl w:ilvl="0" w:tentative="0">
      <w:start w:val="1"/>
      <w:numFmt w:val="lowerLetter"/>
      <w:lvlText w:val="%1)"/>
      <w:lvlJc w:val="left"/>
      <w:pPr>
        <w:tabs>
          <w:tab w:val="left" w:pos="0"/>
        </w:tabs>
        <w:ind w:left="2988" w:hanging="360"/>
      </w:pPr>
    </w:lvl>
    <w:lvl w:ilvl="1" w:tentative="0">
      <w:start w:val="1"/>
      <w:numFmt w:val="lowerLetter"/>
      <w:lvlText w:val="%2."/>
      <w:lvlJc w:val="left"/>
      <w:pPr>
        <w:tabs>
          <w:tab w:val="left" w:pos="0"/>
        </w:tabs>
        <w:ind w:left="3708" w:hanging="360"/>
      </w:pPr>
    </w:lvl>
    <w:lvl w:ilvl="2" w:tentative="0">
      <w:start w:val="1"/>
      <w:numFmt w:val="lowerRoman"/>
      <w:lvlText w:val="%3."/>
      <w:lvlJc w:val="right"/>
      <w:pPr>
        <w:tabs>
          <w:tab w:val="left" w:pos="0"/>
        </w:tabs>
        <w:ind w:left="4428" w:hanging="180"/>
      </w:pPr>
    </w:lvl>
    <w:lvl w:ilvl="3" w:tentative="0">
      <w:start w:val="1"/>
      <w:numFmt w:val="decimal"/>
      <w:lvlText w:val="%4."/>
      <w:lvlJc w:val="left"/>
      <w:pPr>
        <w:tabs>
          <w:tab w:val="left" w:pos="0"/>
        </w:tabs>
        <w:ind w:left="5148" w:hanging="360"/>
      </w:pPr>
    </w:lvl>
    <w:lvl w:ilvl="4" w:tentative="0">
      <w:start w:val="1"/>
      <w:numFmt w:val="lowerLetter"/>
      <w:lvlText w:val="%5."/>
      <w:lvlJc w:val="left"/>
      <w:pPr>
        <w:tabs>
          <w:tab w:val="left" w:pos="0"/>
        </w:tabs>
        <w:ind w:left="5868" w:hanging="360"/>
      </w:pPr>
    </w:lvl>
    <w:lvl w:ilvl="5" w:tentative="0">
      <w:start w:val="1"/>
      <w:numFmt w:val="lowerRoman"/>
      <w:lvlText w:val="%6."/>
      <w:lvlJc w:val="right"/>
      <w:pPr>
        <w:tabs>
          <w:tab w:val="left" w:pos="0"/>
        </w:tabs>
        <w:ind w:left="6588" w:hanging="180"/>
      </w:pPr>
    </w:lvl>
    <w:lvl w:ilvl="6" w:tentative="0">
      <w:start w:val="1"/>
      <w:numFmt w:val="decimal"/>
      <w:lvlText w:val="%7."/>
      <w:lvlJc w:val="left"/>
      <w:pPr>
        <w:tabs>
          <w:tab w:val="left" w:pos="0"/>
        </w:tabs>
        <w:ind w:left="7308" w:hanging="360"/>
      </w:pPr>
    </w:lvl>
    <w:lvl w:ilvl="7" w:tentative="0">
      <w:start w:val="1"/>
      <w:numFmt w:val="lowerLetter"/>
      <w:lvlText w:val="%8."/>
      <w:lvlJc w:val="left"/>
      <w:pPr>
        <w:tabs>
          <w:tab w:val="left" w:pos="0"/>
        </w:tabs>
        <w:ind w:left="8028" w:hanging="360"/>
      </w:pPr>
    </w:lvl>
    <w:lvl w:ilvl="8" w:tentative="0">
      <w:start w:val="1"/>
      <w:numFmt w:val="lowerRoman"/>
      <w:lvlText w:val="%9."/>
      <w:lvlJc w:val="right"/>
      <w:pPr>
        <w:tabs>
          <w:tab w:val="left" w:pos="0"/>
        </w:tabs>
        <w:ind w:left="8748" w:hanging="180"/>
      </w:pPr>
    </w:lvl>
  </w:abstractNum>
  <w:abstractNum w:abstractNumId="10">
    <w:nsid w:val="708271AB"/>
    <w:multiLevelType w:val="multilevel"/>
    <w:tmpl w:val="708271A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1DB35A6"/>
    <w:multiLevelType w:val="multilevel"/>
    <w:tmpl w:val="71DB35A6"/>
    <w:lvl w:ilvl="0" w:tentative="0">
      <w:start w:val="16"/>
      <w:numFmt w:val="decimal"/>
      <w:lvlText w:val="%1"/>
      <w:lvlJc w:val="left"/>
      <w:pPr>
        <w:ind w:left="420" w:hanging="420"/>
      </w:pPr>
      <w:rPr>
        <w:rFonts w:hint="default"/>
      </w:rPr>
    </w:lvl>
    <w:lvl w:ilvl="1" w:tentative="0">
      <w:start w:val="2"/>
      <w:numFmt w:val="decimal"/>
      <w:lvlText w:val="%1.%2"/>
      <w:lvlJc w:val="left"/>
      <w:pPr>
        <w:ind w:left="420" w:hanging="4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12">
    <w:nsid w:val="73D61850"/>
    <w:multiLevelType w:val="multilevel"/>
    <w:tmpl w:val="73D61850"/>
    <w:lvl w:ilvl="0" w:tentative="0">
      <w:start w:val="10"/>
      <w:numFmt w:val="decimal"/>
      <w:pStyle w:val="9"/>
      <w:lvlText w:val="%1."/>
      <w:lvlJc w:val="left"/>
      <w:pPr>
        <w:tabs>
          <w:tab w:val="left" w:pos="486"/>
        </w:tabs>
        <w:ind w:left="486" w:hanging="486"/>
      </w:pPr>
      <w:rPr>
        <w:rFonts w:hint="default"/>
      </w:rPr>
    </w:lvl>
    <w:lvl w:ilvl="1" w:tentative="0">
      <w:start w:val="2"/>
      <w:numFmt w:val="decimal"/>
      <w:pStyle w:val="31"/>
      <w:lvlText w:val="%1.%2."/>
      <w:lvlJc w:val="left"/>
      <w:pPr>
        <w:tabs>
          <w:tab w:val="left" w:pos="720"/>
        </w:tabs>
        <w:ind w:left="720" w:hanging="720"/>
      </w:pPr>
      <w:rPr>
        <w:rFonts w:hint="default"/>
      </w:rPr>
    </w:lvl>
    <w:lvl w:ilvl="2" w:tentative="0">
      <w:start w:val="1"/>
      <w:numFmt w:val="decimal"/>
      <w:pStyle w:val="33"/>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3">
    <w:nsid w:val="78076CF4"/>
    <w:multiLevelType w:val="multilevel"/>
    <w:tmpl w:val="78076CF4"/>
    <w:lvl w:ilvl="0" w:tentative="0">
      <w:start w:val="2"/>
      <w:numFmt w:val="decimal"/>
      <w:lvlText w:val="%1"/>
      <w:lvlJc w:val="left"/>
      <w:pPr>
        <w:ind w:left="360" w:hanging="360"/>
      </w:pPr>
      <w:rPr>
        <w:rFonts w:hint="default"/>
      </w:rPr>
    </w:lvl>
    <w:lvl w:ilvl="1" w:tentative="0">
      <w:start w:val="4"/>
      <w:numFmt w:val="decimal"/>
      <w:lvlText w:val="%1.%2"/>
      <w:lvlJc w:val="left"/>
      <w:pPr>
        <w:ind w:left="1065" w:hanging="360"/>
      </w:pPr>
      <w:rPr>
        <w:rFonts w:hint="default"/>
      </w:rPr>
    </w:lvl>
    <w:lvl w:ilvl="2" w:tentative="0">
      <w:start w:val="1"/>
      <w:numFmt w:val="decimal"/>
      <w:lvlText w:val="%1.%2.%3"/>
      <w:lvlJc w:val="left"/>
      <w:pPr>
        <w:ind w:left="2130" w:hanging="720"/>
      </w:pPr>
      <w:rPr>
        <w:rFonts w:hint="default"/>
      </w:rPr>
    </w:lvl>
    <w:lvl w:ilvl="3" w:tentative="0">
      <w:start w:val="1"/>
      <w:numFmt w:val="decimal"/>
      <w:lvlText w:val="%1.%2.%3.%4"/>
      <w:lvlJc w:val="left"/>
      <w:pPr>
        <w:ind w:left="2835" w:hanging="720"/>
      </w:pPr>
      <w:rPr>
        <w:rFonts w:hint="default"/>
      </w:rPr>
    </w:lvl>
    <w:lvl w:ilvl="4" w:tentative="0">
      <w:start w:val="1"/>
      <w:numFmt w:val="decimal"/>
      <w:lvlText w:val="%1.%2.%3.%4.%5"/>
      <w:lvlJc w:val="left"/>
      <w:pPr>
        <w:ind w:left="3900" w:hanging="1080"/>
      </w:pPr>
      <w:rPr>
        <w:rFonts w:hint="default"/>
      </w:rPr>
    </w:lvl>
    <w:lvl w:ilvl="5" w:tentative="0">
      <w:start w:val="1"/>
      <w:numFmt w:val="decimal"/>
      <w:lvlText w:val="%1.%2.%3.%4.%5.%6"/>
      <w:lvlJc w:val="left"/>
      <w:pPr>
        <w:ind w:left="4605" w:hanging="1080"/>
      </w:pPr>
      <w:rPr>
        <w:rFonts w:hint="default"/>
      </w:rPr>
    </w:lvl>
    <w:lvl w:ilvl="6" w:tentative="0">
      <w:start w:val="1"/>
      <w:numFmt w:val="decimal"/>
      <w:lvlText w:val="%1.%2.%3.%4.%5.%6.%7"/>
      <w:lvlJc w:val="left"/>
      <w:pPr>
        <w:ind w:left="5670" w:hanging="1440"/>
      </w:pPr>
      <w:rPr>
        <w:rFonts w:hint="default"/>
      </w:rPr>
    </w:lvl>
    <w:lvl w:ilvl="7" w:tentative="0">
      <w:start w:val="1"/>
      <w:numFmt w:val="decimal"/>
      <w:lvlText w:val="%1.%2.%3.%4.%5.%6.%7.%8"/>
      <w:lvlJc w:val="left"/>
      <w:pPr>
        <w:ind w:left="6375" w:hanging="1440"/>
      </w:pPr>
      <w:rPr>
        <w:rFonts w:hint="default"/>
      </w:rPr>
    </w:lvl>
    <w:lvl w:ilvl="8" w:tentative="0">
      <w:start w:val="1"/>
      <w:numFmt w:val="decimal"/>
      <w:lvlText w:val="%1.%2.%3.%4.%5.%6.%7.%8.%9"/>
      <w:lvlJc w:val="left"/>
      <w:pPr>
        <w:ind w:left="7440" w:hanging="1800"/>
      </w:pPr>
      <w:rPr>
        <w:rFonts w:hint="default"/>
      </w:rPr>
    </w:lvl>
  </w:abstractNum>
  <w:num w:numId="1">
    <w:abstractNumId w:val="12"/>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3"/>
  </w:num>
  <w:num w:numId="5">
    <w:abstractNumId w:val="10"/>
  </w:num>
  <w:num w:numId="6">
    <w:abstractNumId w:val="3"/>
  </w:num>
  <w:num w:numId="7">
    <w:abstractNumId w:val="0"/>
  </w:num>
  <w:num w:numId="8">
    <w:abstractNumId w:val="4"/>
  </w:num>
  <w:num w:numId="9">
    <w:abstractNumId w:val="8"/>
  </w:num>
  <w:num w:numId="10">
    <w:abstractNumId w:val="7"/>
  </w:num>
  <w:num w:numId="11">
    <w:abstractNumId w:val="2"/>
  </w:num>
  <w:num w:numId="12">
    <w:abstractNumId w:val="6"/>
  </w:num>
  <w:num w:numId="13">
    <w:abstractNumId w:val="11"/>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08"/>
  <w:hyphenationZone w:val="425"/>
  <w:displayHorizontalDrawingGridEvery w:val="1"/>
  <w:displayVerticalDrawingGridEvery w:val="1"/>
  <w:noPunctuationKerning w:val="1"/>
  <w:characterSpacingControl w:val="doNotCompress"/>
  <w:hdrShapeDefaults>
    <o:shapelayout v:ext="edit">
      <o:idmap v:ext="edit" data="1"/>
    </o:shapelayout>
  </w:hdrShapeDefaults>
  <w:footnotePr>
    <w:footnote w:id="0"/>
    <w:footnote w:id="1"/>
  </w:footnotePr>
  <w:endnotePr>
    <w:endnote w:id="0"/>
    <w:endnote w:id="1"/>
  </w:end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489"/>
    <w:rsid w:val="0002078D"/>
    <w:rsid w:val="00025B74"/>
    <w:rsid w:val="00037990"/>
    <w:rsid w:val="00093D1F"/>
    <w:rsid w:val="00100633"/>
    <w:rsid w:val="00173A01"/>
    <w:rsid w:val="002227E6"/>
    <w:rsid w:val="00352FAA"/>
    <w:rsid w:val="003D21D2"/>
    <w:rsid w:val="003D310B"/>
    <w:rsid w:val="0046049E"/>
    <w:rsid w:val="004A08AC"/>
    <w:rsid w:val="004B4DB5"/>
    <w:rsid w:val="004B6263"/>
    <w:rsid w:val="004E0953"/>
    <w:rsid w:val="005130B3"/>
    <w:rsid w:val="00585A95"/>
    <w:rsid w:val="005920FB"/>
    <w:rsid w:val="006E4C2C"/>
    <w:rsid w:val="007021F7"/>
    <w:rsid w:val="008A561B"/>
    <w:rsid w:val="009D73BF"/>
    <w:rsid w:val="00A10C36"/>
    <w:rsid w:val="00A95CFA"/>
    <w:rsid w:val="00AE6815"/>
    <w:rsid w:val="00AF5AF9"/>
    <w:rsid w:val="00B63534"/>
    <w:rsid w:val="00B6480A"/>
    <w:rsid w:val="00B67489"/>
    <w:rsid w:val="00D80AE8"/>
    <w:rsid w:val="00F03B05"/>
    <w:rsid w:val="00F4180A"/>
    <w:rsid w:val="00FB62BE"/>
    <w:rsid w:val="027B2A7F"/>
    <w:rsid w:val="08EF6AC2"/>
    <w:rsid w:val="0C892520"/>
    <w:rsid w:val="16213F5B"/>
    <w:rsid w:val="1A7D6D83"/>
    <w:rsid w:val="1D0667AD"/>
    <w:rsid w:val="21940889"/>
    <w:rsid w:val="227A3371"/>
    <w:rsid w:val="23FF7A8C"/>
    <w:rsid w:val="2A70072B"/>
    <w:rsid w:val="35DE1666"/>
    <w:rsid w:val="38691DA7"/>
    <w:rsid w:val="3EEF128C"/>
    <w:rsid w:val="40EB3DF7"/>
    <w:rsid w:val="43344EE4"/>
    <w:rsid w:val="4E0D5EF6"/>
    <w:rsid w:val="51A47417"/>
    <w:rsid w:val="58926F1D"/>
    <w:rsid w:val="5AE5321F"/>
    <w:rsid w:val="5F2E6DD0"/>
    <w:rsid w:val="5FA64307"/>
    <w:rsid w:val="631345CC"/>
    <w:rsid w:val="67327EE5"/>
    <w:rsid w:val="6BB60313"/>
    <w:rsid w:val="6C753250"/>
    <w:rsid w:val="792A1A13"/>
    <w:rsid w:val="7EDF1FC7"/>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0" w:line="240" w:lineRule="auto"/>
    </w:pPr>
    <w:rPr>
      <w:rFonts w:ascii="Times New Roman" w:hAnsi="Times New Roman" w:eastAsia="Times New Roman" w:cs="Times New Roman"/>
      <w:kern w:val="0"/>
      <w:sz w:val="24"/>
      <w:szCs w:val="24"/>
      <w:lang w:val="pt-BR" w:eastAsia="pt-BR" w:bidi="ar-SA"/>
      <w14:ligatures w14:val="none"/>
    </w:rPr>
  </w:style>
  <w:style w:type="paragraph" w:styleId="2">
    <w:name w:val="heading 1"/>
    <w:basedOn w:val="1"/>
    <w:next w:val="1"/>
    <w:link w:val="17"/>
    <w:qFormat/>
    <w:uiPriority w:val="0"/>
    <w:pPr>
      <w:keepNext/>
      <w:outlineLvl w:val="0"/>
    </w:pPr>
    <w:rPr>
      <w:rFonts w:ascii="Arial" w:hAnsi="Arial"/>
      <w:b/>
      <w:sz w:val="26"/>
    </w:rPr>
  </w:style>
  <w:style w:type="paragraph" w:styleId="3">
    <w:name w:val="heading 2"/>
    <w:basedOn w:val="1"/>
    <w:next w:val="1"/>
    <w:unhideWhenUsed/>
    <w:qFormat/>
    <w:uiPriority w:val="9"/>
    <w:pPr>
      <w:keepNext/>
      <w:keepLines/>
      <w:spacing w:before="200" w:after="0"/>
      <w:outlineLvl w:val="1"/>
    </w:pPr>
    <w:rPr>
      <w:rFonts w:asciiTheme="majorHAnsi" w:hAnsiTheme="majorHAnsi" w:eastAsiaTheme="majorEastAsia" w:cstheme="majorBidi"/>
      <w:b/>
      <w:bCs/>
      <w:color w:val="4472C4" w:themeColor="accent1"/>
      <w:sz w:val="26"/>
      <w:szCs w:val="26"/>
      <w14:textFill>
        <w14:solidFill>
          <w14:schemeClr w14:val="accent1"/>
        </w14:solidFill>
      </w14:textFill>
    </w:rPr>
  </w:style>
  <w:style w:type="paragraph" w:styleId="4">
    <w:name w:val="heading 4"/>
    <w:next w:val="1"/>
    <w:semiHidden/>
    <w:unhideWhenUsed/>
    <w:qFormat/>
    <w:uiPriority w:val="9"/>
    <w:pPr>
      <w:spacing w:before="0" w:beforeAutospacing="1" w:after="0" w:afterAutospacing="1"/>
      <w:jc w:val="left"/>
    </w:pPr>
    <w:rPr>
      <w:rFonts w:hint="eastAsia" w:ascii="SimSun" w:hAnsi="SimSun" w:eastAsia="SimSun" w:cs="SimSun"/>
      <w:b/>
      <w:bCs/>
      <w:kern w:val="0"/>
      <w:sz w:val="24"/>
      <w:szCs w:val="24"/>
      <w:lang w:val="en-US" w:eastAsia="zh-CN" w:bidi="a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Strong"/>
    <w:basedOn w:val="5"/>
    <w:qFormat/>
    <w:uiPriority w:val="22"/>
    <w:rPr>
      <w:b/>
      <w:bCs/>
    </w:rPr>
  </w:style>
  <w:style w:type="character" w:styleId="8">
    <w:name w:val="Hyperlink"/>
    <w:qFormat/>
    <w:uiPriority w:val="0"/>
    <w:rPr>
      <w:color w:val="0000FF"/>
      <w:u w:val="single"/>
    </w:rPr>
  </w:style>
  <w:style w:type="paragraph" w:styleId="9">
    <w:name w:val="annotation text"/>
    <w:basedOn w:val="1"/>
    <w:link w:val="18"/>
    <w:qFormat/>
    <w:uiPriority w:val="99"/>
    <w:pPr>
      <w:numPr>
        <w:ilvl w:val="0"/>
        <w:numId w:val="1"/>
      </w:numPr>
      <w:jc w:val="both"/>
    </w:pPr>
    <w:rPr>
      <w:sz w:val="20"/>
      <w:szCs w:val="20"/>
    </w:rPr>
  </w:style>
  <w:style w:type="paragraph" w:styleId="10">
    <w:name w:val="Normal (Web)"/>
    <w:basedOn w:val="1"/>
    <w:unhideWhenUsed/>
    <w:qFormat/>
    <w:uiPriority w:val="99"/>
    <w:pPr>
      <w:spacing w:before="100" w:beforeAutospacing="1" w:after="100" w:afterAutospacing="1"/>
    </w:pPr>
  </w:style>
  <w:style w:type="paragraph" w:styleId="11">
    <w:name w:val="header"/>
    <w:basedOn w:val="1"/>
    <w:link w:val="15"/>
    <w:unhideWhenUsed/>
    <w:qFormat/>
    <w:uiPriority w:val="0"/>
    <w:pPr>
      <w:tabs>
        <w:tab w:val="center" w:pos="4252"/>
        <w:tab w:val="right" w:pos="8504"/>
      </w:tabs>
    </w:pPr>
  </w:style>
  <w:style w:type="paragraph" w:styleId="12">
    <w:name w:val="footer"/>
    <w:basedOn w:val="1"/>
    <w:link w:val="16"/>
    <w:unhideWhenUsed/>
    <w:qFormat/>
    <w:uiPriority w:val="99"/>
    <w:pPr>
      <w:tabs>
        <w:tab w:val="center" w:pos="4252"/>
        <w:tab w:val="right" w:pos="8504"/>
      </w:tabs>
    </w:pPr>
  </w:style>
  <w:style w:type="paragraph" w:styleId="13">
    <w:name w:val="Balloon Text"/>
    <w:basedOn w:val="1"/>
    <w:link w:val="35"/>
    <w:semiHidden/>
    <w:unhideWhenUsed/>
    <w:qFormat/>
    <w:uiPriority w:val="99"/>
    <w:rPr>
      <w:rFonts w:ascii="Tahoma" w:hAnsi="Tahoma" w:cs="Tahoma"/>
      <w:sz w:val="16"/>
      <w:szCs w:val="16"/>
    </w:rPr>
  </w:style>
  <w:style w:type="table" w:styleId="14">
    <w:name w:val="Table Grid"/>
    <w:basedOn w:val="6"/>
    <w:qFormat/>
    <w:uiPriority w:val="39"/>
    <w:pPr>
      <w:spacing w:after="0" w:line="240" w:lineRule="auto"/>
    </w:pPr>
    <w:rPr>
      <w:rFonts w:ascii="Times New Roman" w:hAnsi="Times New Roman" w:eastAsia="Batang" w:cs="Times New Roman"/>
      <w:kern w:val="0"/>
      <w:sz w:val="20"/>
      <w:szCs w:val="20"/>
      <w:lang w:eastAsia="pt-BR"/>
      <w14:ligatures w14:val="none"/>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5">
    <w:name w:val="Cabeçalho Char"/>
    <w:basedOn w:val="5"/>
    <w:link w:val="11"/>
    <w:qFormat/>
    <w:uiPriority w:val="0"/>
  </w:style>
  <w:style w:type="character" w:customStyle="1" w:styleId="16">
    <w:name w:val="Rodapé Char"/>
    <w:basedOn w:val="5"/>
    <w:link w:val="12"/>
    <w:qFormat/>
    <w:uiPriority w:val="99"/>
  </w:style>
  <w:style w:type="character" w:customStyle="1" w:styleId="17">
    <w:name w:val="Título 1 Char"/>
    <w:basedOn w:val="5"/>
    <w:link w:val="2"/>
    <w:qFormat/>
    <w:uiPriority w:val="0"/>
    <w:rPr>
      <w:rFonts w:ascii="Arial" w:hAnsi="Arial" w:eastAsia="Times New Roman" w:cs="Times New Roman"/>
      <w:b/>
      <w:kern w:val="0"/>
      <w:sz w:val="26"/>
      <w:szCs w:val="24"/>
      <w:lang w:eastAsia="pt-BR"/>
      <w14:ligatures w14:val="none"/>
    </w:rPr>
  </w:style>
  <w:style w:type="character" w:customStyle="1" w:styleId="18">
    <w:name w:val="Texto de comentário Char"/>
    <w:basedOn w:val="5"/>
    <w:link w:val="9"/>
    <w:qFormat/>
    <w:uiPriority w:val="99"/>
    <w:rPr>
      <w:rFonts w:ascii="Times New Roman" w:hAnsi="Times New Roman" w:eastAsia="Times New Roman" w:cs="Times New Roman"/>
      <w:kern w:val="0"/>
      <w:sz w:val="20"/>
      <w:szCs w:val="20"/>
      <w:lang w:eastAsia="pt-BR"/>
      <w14:ligatures w14:val="none"/>
    </w:rPr>
  </w:style>
  <w:style w:type="paragraph" w:styleId="19">
    <w:name w:val="List Paragraph"/>
    <w:basedOn w:val="1"/>
    <w:link w:val="26"/>
    <w:qFormat/>
    <w:uiPriority w:val="34"/>
    <w:pPr>
      <w:spacing w:after="200" w:line="276" w:lineRule="auto"/>
      <w:ind w:left="720"/>
      <w:contextualSpacing/>
    </w:pPr>
    <w:rPr>
      <w:rFonts w:ascii="Calibri" w:hAnsi="Calibri" w:eastAsia="Calibri"/>
      <w:sz w:val="22"/>
      <w:szCs w:val="22"/>
      <w:lang w:val="en-US" w:eastAsia="en-US"/>
    </w:rPr>
  </w:style>
  <w:style w:type="paragraph" w:customStyle="1" w:styleId="20">
    <w:name w:val="Nivel 01"/>
    <w:basedOn w:val="2"/>
    <w:next w:val="1"/>
    <w:qFormat/>
    <w:uiPriority w:val="0"/>
    <w:pPr>
      <w:keepLines/>
      <w:numPr>
        <w:ilvl w:val="0"/>
        <w:numId w:val="2"/>
      </w:numPr>
      <w:tabs>
        <w:tab w:val="left" w:pos="360"/>
        <w:tab w:val="left" w:pos="567"/>
      </w:tabs>
      <w:spacing w:before="240"/>
      <w:ind w:left="0" w:firstLine="0"/>
      <w:jc w:val="both"/>
    </w:pPr>
    <w:rPr>
      <w:rFonts w:cs="Arial" w:eastAsiaTheme="majorEastAsia"/>
      <w:bCs/>
      <w:sz w:val="20"/>
      <w:szCs w:val="20"/>
    </w:rPr>
  </w:style>
  <w:style w:type="paragraph" w:customStyle="1" w:styleId="21">
    <w:name w:val="Nivel 2"/>
    <w:basedOn w:val="1"/>
    <w:link w:val="27"/>
    <w:qFormat/>
    <w:uiPriority w:val="0"/>
    <w:pPr>
      <w:numPr>
        <w:ilvl w:val="1"/>
        <w:numId w:val="2"/>
      </w:numPr>
      <w:spacing w:before="120" w:after="120" w:line="276" w:lineRule="auto"/>
      <w:ind w:left="0" w:firstLine="0"/>
      <w:jc w:val="both"/>
    </w:pPr>
    <w:rPr>
      <w:rFonts w:ascii="Arial" w:hAnsi="Arial" w:cs="Arial" w:eastAsiaTheme="minorEastAsia"/>
      <w:color w:val="000000"/>
      <w:sz w:val="20"/>
      <w:szCs w:val="20"/>
    </w:rPr>
  </w:style>
  <w:style w:type="character" w:customStyle="1" w:styleId="22">
    <w:name w:val="Nivel 3 Char"/>
    <w:basedOn w:val="5"/>
    <w:link w:val="23"/>
    <w:qFormat/>
    <w:locked/>
    <w:uiPriority w:val="0"/>
    <w:rPr>
      <w:rFonts w:ascii="Arial" w:hAnsi="Arial" w:cs="Arial"/>
      <w:color w:val="000000"/>
      <w:lang w:eastAsia="pt-BR"/>
    </w:rPr>
  </w:style>
  <w:style w:type="paragraph" w:customStyle="1" w:styleId="23">
    <w:name w:val="Nivel 3"/>
    <w:basedOn w:val="1"/>
    <w:link w:val="22"/>
    <w:qFormat/>
    <w:uiPriority w:val="0"/>
    <w:pPr>
      <w:numPr>
        <w:ilvl w:val="2"/>
        <w:numId w:val="2"/>
      </w:numPr>
      <w:spacing w:before="120" w:after="120" w:line="276" w:lineRule="auto"/>
      <w:ind w:left="425" w:firstLine="0"/>
      <w:jc w:val="both"/>
    </w:pPr>
    <w:rPr>
      <w:rFonts w:ascii="Arial" w:hAnsi="Arial" w:cs="Arial" w:eastAsiaTheme="minorHAnsi"/>
      <w:color w:val="000000"/>
      <w:kern w:val="2"/>
      <w:sz w:val="22"/>
      <w:szCs w:val="22"/>
      <w14:ligatures w14:val="standardContextual"/>
    </w:rPr>
  </w:style>
  <w:style w:type="paragraph" w:customStyle="1" w:styleId="24">
    <w:name w:val="Nivel 4"/>
    <w:basedOn w:val="23"/>
    <w:qFormat/>
    <w:uiPriority w:val="0"/>
    <w:pPr>
      <w:numPr>
        <w:ilvl w:val="3"/>
      </w:numPr>
      <w:tabs>
        <w:tab w:val="left" w:pos="360"/>
        <w:tab w:val="left" w:pos="1080"/>
      </w:tabs>
      <w:ind w:left="851" w:firstLine="0"/>
    </w:pPr>
    <w:rPr>
      <w:color w:val="auto"/>
    </w:rPr>
  </w:style>
  <w:style w:type="paragraph" w:customStyle="1" w:styleId="25">
    <w:name w:val="Nivel 5"/>
    <w:basedOn w:val="24"/>
    <w:qFormat/>
    <w:uiPriority w:val="0"/>
    <w:pPr>
      <w:numPr>
        <w:ilvl w:val="4"/>
      </w:numPr>
      <w:ind w:left="1276" w:firstLine="0"/>
    </w:pPr>
  </w:style>
  <w:style w:type="character" w:customStyle="1" w:styleId="26">
    <w:name w:val="Parágrafo da Lista Char"/>
    <w:basedOn w:val="5"/>
    <w:link w:val="19"/>
    <w:qFormat/>
    <w:locked/>
    <w:uiPriority w:val="34"/>
    <w:rPr>
      <w:rFonts w:ascii="Calibri" w:hAnsi="Calibri" w:eastAsia="Calibri" w:cs="Times New Roman"/>
      <w:kern w:val="0"/>
      <w:lang w:val="en-US"/>
      <w14:ligatures w14:val="none"/>
    </w:rPr>
  </w:style>
  <w:style w:type="character" w:customStyle="1" w:styleId="27">
    <w:name w:val="Nivel 2 Char"/>
    <w:basedOn w:val="5"/>
    <w:link w:val="21"/>
    <w:qFormat/>
    <w:locked/>
    <w:uiPriority w:val="0"/>
    <w:rPr>
      <w:rFonts w:ascii="Arial" w:hAnsi="Arial" w:cs="Arial" w:eastAsiaTheme="minorEastAsia"/>
      <w:color w:val="000000"/>
      <w:kern w:val="0"/>
      <w:sz w:val="20"/>
      <w:szCs w:val="20"/>
      <w:lang w:eastAsia="pt-BR"/>
      <w14:ligatures w14:val="none"/>
    </w:rPr>
  </w:style>
  <w:style w:type="character" w:customStyle="1" w:styleId="28">
    <w:name w:val="ou Char"/>
    <w:basedOn w:val="26"/>
    <w:link w:val="29"/>
    <w:qFormat/>
    <w:locked/>
    <w:uiPriority w:val="0"/>
    <w:rPr>
      <w:rFonts w:ascii="Arial" w:hAnsi="Arial" w:eastAsia="Calibri" w:cs="Arial"/>
      <w:b/>
      <w:bCs/>
      <w:i/>
      <w:iCs/>
      <w:color w:val="FF0000"/>
      <w:kern w:val="0"/>
      <w:u w:val="single"/>
      <w:lang w:val="en-US"/>
      <w14:ligatures w14:val="none"/>
    </w:rPr>
  </w:style>
  <w:style w:type="paragraph" w:customStyle="1" w:styleId="29">
    <w:name w:val="ou"/>
    <w:basedOn w:val="19"/>
    <w:link w:val="28"/>
    <w:qFormat/>
    <w:uiPriority w:val="0"/>
    <w:pPr>
      <w:spacing w:before="60" w:after="60" w:line="256" w:lineRule="auto"/>
      <w:ind w:left="0"/>
      <w:contextualSpacing w:val="0"/>
      <w:jc w:val="center"/>
    </w:pPr>
    <w:rPr>
      <w:rFonts w:ascii="Arial" w:hAnsi="Arial" w:cs="Arial"/>
      <w:b/>
      <w:bCs/>
      <w:i/>
      <w:iCs/>
      <w:color w:val="FF0000"/>
      <w:u w:val="single"/>
    </w:rPr>
  </w:style>
  <w:style w:type="character" w:customStyle="1" w:styleId="30">
    <w:name w:val="Nível 2 -Red Char"/>
    <w:basedOn w:val="27"/>
    <w:link w:val="31"/>
    <w:qFormat/>
    <w:locked/>
    <w:uiPriority w:val="0"/>
    <w:rPr>
      <w:rFonts w:ascii="Arial" w:hAnsi="Arial" w:cs="Arial" w:eastAsiaTheme="minorEastAsia"/>
      <w:i/>
      <w:iCs/>
      <w:color w:val="FF0000"/>
      <w:kern w:val="0"/>
      <w:sz w:val="20"/>
      <w:szCs w:val="20"/>
      <w:lang w:eastAsia="pt-BR"/>
      <w14:ligatures w14:val="none"/>
    </w:rPr>
  </w:style>
  <w:style w:type="paragraph" w:customStyle="1" w:styleId="31">
    <w:name w:val="Nível 2 -Red"/>
    <w:basedOn w:val="21"/>
    <w:link w:val="30"/>
    <w:qFormat/>
    <w:uiPriority w:val="0"/>
    <w:pPr>
      <w:numPr>
        <w:numId w:val="1"/>
      </w:numPr>
      <w:tabs>
        <w:tab w:val="left" w:pos="720"/>
      </w:tabs>
      <w:ind w:left="0" w:firstLine="0"/>
    </w:pPr>
    <w:rPr>
      <w:i/>
      <w:iCs/>
      <w:color w:val="FF0000"/>
    </w:rPr>
  </w:style>
  <w:style w:type="character" w:customStyle="1" w:styleId="32">
    <w:name w:val="Nível 3-R Char"/>
    <w:basedOn w:val="5"/>
    <w:link w:val="33"/>
    <w:qFormat/>
    <w:locked/>
    <w:uiPriority w:val="0"/>
    <w:rPr>
      <w:rFonts w:ascii="Arial" w:hAnsi="Arial" w:cs="Arial"/>
      <w:i/>
      <w:iCs/>
      <w:color w:val="FF0000"/>
      <w:lang w:eastAsia="pt-BR"/>
    </w:rPr>
  </w:style>
  <w:style w:type="paragraph" w:customStyle="1" w:styleId="33">
    <w:name w:val="Nível 3-R"/>
    <w:basedOn w:val="23"/>
    <w:link w:val="32"/>
    <w:qFormat/>
    <w:uiPriority w:val="0"/>
    <w:pPr>
      <w:numPr>
        <w:numId w:val="1"/>
      </w:numPr>
      <w:tabs>
        <w:tab w:val="left" w:pos="720"/>
      </w:tabs>
      <w:ind w:left="425" w:firstLine="0"/>
    </w:pPr>
    <w:rPr>
      <w:i/>
      <w:iCs/>
      <w:color w:val="FF0000"/>
    </w:rPr>
  </w:style>
  <w:style w:type="paragraph" w:customStyle="1" w:styleId="34">
    <w:name w:val="Padrão"/>
    <w:qFormat/>
    <w:uiPriority w:val="0"/>
    <w:pPr>
      <w:tabs>
        <w:tab w:val="left" w:pos="708"/>
      </w:tabs>
      <w:suppressAutoHyphens/>
      <w:spacing w:after="160" w:line="256" w:lineRule="auto"/>
    </w:pPr>
    <w:rPr>
      <w:rFonts w:ascii="Times New Roman" w:hAnsi="Times New Roman" w:eastAsia="SimSun" w:cs="Mangal"/>
      <w:kern w:val="0"/>
      <w:sz w:val="24"/>
      <w:szCs w:val="24"/>
      <w:lang w:val="pt-BR" w:eastAsia="zh-CN" w:bidi="hi-IN"/>
      <w14:ligatures w14:val="none"/>
    </w:rPr>
  </w:style>
  <w:style w:type="character" w:customStyle="1" w:styleId="35">
    <w:name w:val="Texto de balão Char"/>
    <w:basedOn w:val="5"/>
    <w:link w:val="13"/>
    <w:semiHidden/>
    <w:qFormat/>
    <w:uiPriority w:val="99"/>
    <w:rPr>
      <w:rFonts w:ascii="Tahoma" w:hAnsi="Tahoma" w:eastAsia="Times New Roman" w:cs="Tahoma"/>
      <w:kern w:val="0"/>
      <w:sz w:val="16"/>
      <w:szCs w:val="16"/>
      <w:lang w:eastAsia="pt-BR"/>
      <w14:ligatures w14:val="none"/>
    </w:rPr>
  </w:style>
  <w:style w:type="paragraph" w:customStyle="1" w:styleId="36">
    <w:name w:val="Text body"/>
    <w:basedOn w:val="37"/>
    <w:autoRedefine/>
    <w:qFormat/>
    <w:uiPriority w:val="0"/>
    <w:pPr>
      <w:tabs>
        <w:tab w:val="left" w:pos="582"/>
        <w:tab w:val="left" w:pos="867"/>
        <w:tab w:val="left" w:pos="1167"/>
        <w:tab w:val="left" w:pos="1422"/>
        <w:tab w:val="left" w:pos="1677"/>
        <w:tab w:val="left" w:pos="1992"/>
        <w:tab w:val="left" w:pos="2247"/>
        <w:tab w:val="left" w:leader="underscore" w:pos="7363"/>
      </w:tabs>
      <w:spacing w:after="120"/>
    </w:pPr>
  </w:style>
  <w:style w:type="paragraph" w:customStyle="1" w:styleId="37">
    <w:name w:val="Standard"/>
    <w:autoRedefine/>
    <w:qFormat/>
    <w:uiPriority w:val="0"/>
    <w:pPr>
      <w:widowControl w:val="0"/>
      <w:tabs>
        <w:tab w:val="left" w:pos="582"/>
        <w:tab w:val="left" w:pos="867"/>
        <w:tab w:val="left" w:pos="1167"/>
        <w:tab w:val="left" w:pos="1422"/>
        <w:tab w:val="left" w:pos="1677"/>
        <w:tab w:val="left" w:pos="1992"/>
        <w:tab w:val="left" w:pos="2247"/>
        <w:tab w:val="left" w:leader="underscore" w:pos="7363"/>
      </w:tabs>
      <w:suppressAutoHyphens/>
      <w:autoSpaceDN w:val="0"/>
      <w:spacing w:before="57" w:after="57" w:line="360" w:lineRule="auto"/>
      <w:jc w:val="both"/>
      <w:textAlignment w:val="baseline"/>
    </w:pPr>
    <w:rPr>
      <w:rFonts w:ascii="Arial" w:hAnsi="Arial" w:eastAsia="Arial" w:cs="Tahoma"/>
      <w:kern w:val="3"/>
      <w:shd w:val="clear" w:color="auto" w:fill="FFFFFF"/>
      <w:lang w:val="pt-BR" w:eastAsia="zh-CN" w:bidi="hi-I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1.wmf"/><Relationship Id="rId1" Type="http://schemas.openxmlformats.org/officeDocument/2006/relationships/oleObject" Target="embeddings/oleObject1.bin"/></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4536</Words>
  <Characters>24495</Characters>
  <Lines>204</Lines>
  <Paragraphs>57</Paragraphs>
  <TotalTime>0</TotalTime>
  <ScaleCrop>false</ScaleCrop>
  <LinksUpToDate>false</LinksUpToDate>
  <CharactersWithSpaces>28974</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2024-06-19T23:01:00Z</dcterms:created>
  <dc:creator>Caio Netto Nogueira</dc:creator>
  <cp:lastModifiedBy>tbarroso</cp:lastModifiedBy>
  <cp:lastPrinted>2024-06-19T17:55:00Z</cp:lastPrinted>
  <dcterms:modified xsi:type="dcterms:W3CDTF">2026-01-16T13:11:03Z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1046-12.2.0.23196</vt:lpwstr>
  </property>
  <property fmtid="{D5CDD505-2E9C-101B-9397-08002B2CF9AE}" pid="3" name="ICV">
    <vt:lpwstr>5AD7BE4A25E04B51B962286BBCBBE1E6_13</vt:lpwstr>
  </property>
</Properties>
</file>